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Tables 9-1 </w:t>
      </w:r>
      <w:r w:rsidDel="00000000" w:rsidR="00000000" w:rsidRPr="00000000">
        <w:rPr>
          <w:sz w:val="20"/>
          <w:szCs w:val="20"/>
          <w:rtl w:val="0"/>
        </w:rPr>
        <w:t xml:space="preserve">through</w:t>
      </w:r>
      <w:r w:rsidDel="00000000" w:rsidR="00000000" w:rsidRPr="00000000">
        <w:rPr>
          <w:b w:val="1"/>
          <w:sz w:val="20"/>
          <w:szCs w:val="20"/>
          <w:rtl w:val="0"/>
        </w:rPr>
        <w:t xml:space="preserve"> 9-4</w:t>
      </w:r>
      <w:r w:rsidDel="00000000" w:rsidR="00000000" w:rsidRPr="00000000">
        <w:rPr>
          <w:sz w:val="20"/>
          <w:szCs w:val="20"/>
          <w:rtl w:val="0"/>
        </w:rPr>
        <w:t xml:space="preserve"> list ranges and mean+/-standard error of the mean.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firstLine="36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0"/>
        <w:gridCol w:w="1120"/>
        <w:gridCol w:w="1120"/>
        <w:gridCol w:w="1120"/>
        <w:gridCol w:w="1120"/>
        <w:gridCol w:w="1120"/>
        <w:gridCol w:w="1770"/>
        <w:gridCol w:w="870"/>
        <w:tblGridChange w:id="0">
          <w:tblGrid>
            <w:gridCol w:w="1120"/>
            <w:gridCol w:w="1120"/>
            <w:gridCol w:w="1120"/>
            <w:gridCol w:w="1120"/>
            <w:gridCol w:w="1120"/>
            <w:gridCol w:w="1120"/>
            <w:gridCol w:w="1770"/>
            <w:gridCol w:w="8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Cycles Per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Delta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Alpha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Low Gamma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Gamma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 Gamma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A1 Supra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0.4-12.4; 2.8+/-0.0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0.7-17.2; 3.3+/-0.0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1.1-21.1; 3.5+/-0.0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1.1-23.5; 3.6+/-0.0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1.0-20.1; 3.6+/-0.0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0.7-30.4; 3.7+/-0.0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0.6-37.8; 3.8+/-0.0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A1 Gran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0.5-11.1; 2.8+/-0.0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0.7-18.9; 3.3+/-0.0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0.7-19.6; 3.5+/-0.0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0.8-31.4; 3.7+/-0.0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0.6-25.6; 3.66+/-0.0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0.6-30.0; 3.7+/-0.0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0.5-44.2; 3.8+/-0.0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A1 Infra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0.3-13.1; 2.8+/-0.0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0.9-18.6; 3.4+/-0.0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0.7-27.9; 3.5+/-0.0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0.6-21.8; 3.6+/-0.0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0.6-26.7; 3.6+/-0.0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0.5-30.0; 3.6+/-0.0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0.5-34.9; 3.7+/-0.0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0.7-11.8; 3.0+/-0.0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1.3-14.7; 3.7+/-0.1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1.0-25.9; 3.5+/-0.0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1.3-26.4; 3.8+/-0.0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1.3-25.2; 3.73+/-0.0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0.7-32.4; 3.24+/-0.0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0.7-38.8; 3.49+/-0.0</w:t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Table 9-1. Cycles Per Event for the different physiological oscillation frequency bands.</w:t>
      </w:r>
      <w:r w:rsidDel="00000000" w:rsidR="00000000" w:rsidRPr="00000000">
        <w:rPr>
          <w:sz w:val="20"/>
          <w:szCs w:val="20"/>
          <w:rtl w:val="0"/>
        </w:rPr>
        <w:t xml:space="preserve"> Range and mean+/-standard error of the mean, separated by semicolon (;). A1 Supra, A1 Gran, A1 Infra are from NHP A1 supragranular, granular, and infragranular sink channels, respectively. STG is human iEEG signals recorded from supratemporal gyrus.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tabs>
          <w:tab w:val="left" w:pos="360"/>
        </w:tabs>
        <w:ind w:firstLine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