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left="0" w:firstLine="36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firstLine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60.112676056338"/>
        <w:gridCol w:w="1160.112676056338"/>
        <w:gridCol w:w="1160.112676056338"/>
        <w:gridCol w:w="1160.112676056338"/>
        <w:gridCol w:w="1160.112676056338"/>
        <w:gridCol w:w="1160.112676056338"/>
        <w:gridCol w:w="1160.112676056338"/>
        <w:gridCol w:w="1239.2112676056338"/>
        <w:tblGridChange w:id="0">
          <w:tblGrid>
            <w:gridCol w:w="1160.112676056338"/>
            <w:gridCol w:w="1160.112676056338"/>
            <w:gridCol w:w="1160.112676056338"/>
            <w:gridCol w:w="1160.112676056338"/>
            <w:gridCol w:w="1160.112676056338"/>
            <w:gridCol w:w="1160.112676056338"/>
            <w:gridCol w:w="1160.112676056338"/>
            <w:gridCol w:w="1239.21126760563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 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Delta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Alpha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Low Gamma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Gamma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 Gamma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A1 Supra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0.36+/-0.0 (10,600)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0.56+/-0.0 (16,544)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0.66+/-0.01 (19,476)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1.54+/-0.01 (44,920)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1.29 +/-0.01 (37,800)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4.44+/-0.01 (130,088)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13.12+/-0.02 (383,848)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A1 Gran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0.36+/-0.0 (10,519)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0.58+/-0.0 (17,028)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0.68+/-0.0 (20,032)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1.51+/-0.01 (44,266)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1.27 +/-0.01 (37,089)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4.41+/-0.01 (129,129)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13.08+/-0.02 (382,922)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A1 Infra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0.36+/-0.0 (10,563)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0.57+/-0.0 (16,756)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0.64+/-0.00 (18,874)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1.43+/-0.01 (41,912)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1.23 +/- 0.01 (35,972)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4.41+/-0.01 (129,075)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13.18+/-0.02 (385,638)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0.37+/-0.01 (820)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0.55+/-0.01 (1,204)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0.74+/-0.02 (1,630)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1.50+/-0.02 (3,287)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1.28 +/- 0.02 (2819)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3.29+/-0.05 (7,246)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12.26+/-0.07 (26,917)</w:t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Table 8-1. Average Event Rate (Hz) +/- standard error of the mean, and event count in parentheses, for the different physiological oscillation frequency bands.</w:t>
      </w:r>
      <w:r w:rsidDel="00000000" w:rsidR="00000000" w:rsidRPr="00000000">
        <w:rPr>
          <w:sz w:val="20"/>
          <w:szCs w:val="20"/>
          <w:rtl w:val="0"/>
        </w:rPr>
        <w:t xml:space="preserve"> A1 Supra, A1 Gran, A1 Infra are from NHP A1 supragranular, granular, and infragranular sink channels, respectively. STG is from human iEEG recorded in supratemporal gyrus.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tabs>
          <w:tab w:val="left" w:pos="360"/>
        </w:tabs>
        <w:ind w:firstLine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