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50"/>
        <w:gridCol w:w="1065"/>
        <w:gridCol w:w="1815"/>
        <w:gridCol w:w="1020"/>
        <w:gridCol w:w="1335"/>
        <w:gridCol w:w="1185"/>
      </w:tblGrid>
      <w:tr w:rsidR="003D28B9" w14:paraId="4B2CD8E6" w14:textId="77777777" w:rsidTr="00DD2366">
        <w:trPr>
          <w:trHeight w:val="440"/>
        </w:trPr>
        <w:tc>
          <w:tcPr>
            <w:tcW w:w="7470" w:type="dxa"/>
            <w:gridSpan w:val="6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7A9BEF00" w14:textId="77777777" w:rsidR="003D28B9" w:rsidRDefault="003D28B9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20"/>
                <w:szCs w:val="20"/>
              </w:rPr>
            </w:pPr>
            <w:r>
              <w:rPr>
                <w:rFonts w:ascii="SansSerif" w:eastAsia="SansSerif" w:hAnsi="SansSerif" w:cs="SansSerif"/>
                <w:b/>
                <w:sz w:val="20"/>
                <w:szCs w:val="20"/>
              </w:rPr>
              <w:t>Figure 3-1 - Evoked PSC Pairwise Comparisons</w:t>
            </w:r>
          </w:p>
        </w:tc>
      </w:tr>
      <w:tr w:rsidR="003D28B9" w14:paraId="0B86A2FC" w14:textId="77777777" w:rsidTr="00DD2366">
        <w:trPr>
          <w:trHeight w:val="380"/>
        </w:trPr>
        <w:tc>
          <w:tcPr>
            <w:tcW w:w="2115" w:type="dxa"/>
            <w:gridSpan w:val="2"/>
            <w:vMerge w:val="restart"/>
            <w:vAlign w:val="bottom"/>
          </w:tcPr>
          <w:p w14:paraId="1289B9D0" w14:textId="77777777" w:rsidR="003D28B9" w:rsidRDefault="003D28B9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</w:p>
          <w:p w14:paraId="48AA1443" w14:textId="77777777" w:rsidR="003D28B9" w:rsidRDefault="003D28B9" w:rsidP="00DD2366">
            <w:pPr>
              <w:spacing w:after="0" w:line="240" w:lineRule="auto"/>
              <w:ind w:left="60" w:right="60"/>
              <w:jc w:val="center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Comparison</w:t>
            </w:r>
          </w:p>
          <w:p w14:paraId="3FD834EB" w14:textId="77777777" w:rsidR="003D28B9" w:rsidRDefault="003D28B9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tcBorders>
              <w:right w:val="single" w:sz="8" w:space="0" w:color="E0E0E0"/>
            </w:tcBorders>
            <w:vAlign w:val="bottom"/>
          </w:tcPr>
          <w:p w14:paraId="6472E865" w14:textId="77777777" w:rsidR="003D28B9" w:rsidRDefault="003D28B9" w:rsidP="00DD2366">
            <w:pPr>
              <w:spacing w:after="0" w:line="240" w:lineRule="auto"/>
              <w:ind w:left="60" w:right="60"/>
              <w:jc w:val="center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Mean Difference</w:t>
            </w:r>
          </w:p>
        </w:tc>
        <w:tc>
          <w:tcPr>
            <w:tcW w:w="1020" w:type="dxa"/>
            <w:vMerge w:val="restart"/>
            <w:tcBorders>
              <w:left w:val="single" w:sz="8" w:space="0" w:color="E0E0E0"/>
              <w:right w:val="single" w:sz="8" w:space="0" w:color="E0E0E0"/>
            </w:tcBorders>
            <w:vAlign w:val="bottom"/>
          </w:tcPr>
          <w:p w14:paraId="274A6068" w14:textId="77777777" w:rsidR="003D28B9" w:rsidRDefault="003D28B9" w:rsidP="00DD2366">
            <w:pPr>
              <w:spacing w:after="0" w:line="240" w:lineRule="auto"/>
              <w:ind w:left="60" w:right="60"/>
              <w:jc w:val="center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P-value</w:t>
            </w:r>
          </w:p>
        </w:tc>
        <w:tc>
          <w:tcPr>
            <w:tcW w:w="2520" w:type="dxa"/>
            <w:gridSpan w:val="2"/>
            <w:tcBorders>
              <w:left w:val="single" w:sz="8" w:space="0" w:color="E0E0E0"/>
            </w:tcBorders>
            <w:vAlign w:val="bottom"/>
          </w:tcPr>
          <w:p w14:paraId="6B6136F7" w14:textId="77777777" w:rsidR="003D28B9" w:rsidRDefault="003D28B9" w:rsidP="00DD2366">
            <w:pPr>
              <w:spacing w:after="0" w:line="240" w:lineRule="auto"/>
              <w:ind w:left="60" w:right="60"/>
              <w:jc w:val="center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95% Wald Confidence Interval for Difference</w:t>
            </w:r>
          </w:p>
        </w:tc>
      </w:tr>
      <w:tr w:rsidR="003D28B9" w14:paraId="483ECDA7" w14:textId="77777777" w:rsidTr="00DD2366">
        <w:trPr>
          <w:trHeight w:val="440"/>
        </w:trPr>
        <w:tc>
          <w:tcPr>
            <w:tcW w:w="2115" w:type="dxa"/>
            <w:gridSpan w:val="2"/>
            <w:vMerge/>
            <w:vAlign w:val="bottom"/>
          </w:tcPr>
          <w:p w14:paraId="47275DC3" w14:textId="77777777" w:rsidR="003D28B9" w:rsidRDefault="003D28B9" w:rsidP="00DD2366">
            <w:pPr>
              <w:widowControl w:val="0"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right w:val="single" w:sz="8" w:space="0" w:color="E0E0E0"/>
            </w:tcBorders>
            <w:vAlign w:val="bottom"/>
          </w:tcPr>
          <w:p w14:paraId="4C44CEDE" w14:textId="77777777" w:rsidR="003D28B9" w:rsidRDefault="003D28B9" w:rsidP="00DD2366">
            <w:pPr>
              <w:widowControl w:val="0"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8" w:space="0" w:color="E0E0E0"/>
              <w:right w:val="single" w:sz="8" w:space="0" w:color="E0E0E0"/>
            </w:tcBorders>
            <w:vAlign w:val="bottom"/>
          </w:tcPr>
          <w:p w14:paraId="06C0EA00" w14:textId="77777777" w:rsidR="003D28B9" w:rsidRDefault="003D28B9" w:rsidP="00DD2366">
            <w:pPr>
              <w:widowControl w:val="0"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14:paraId="31DDC330" w14:textId="77777777" w:rsidR="003D28B9" w:rsidRDefault="003D28B9" w:rsidP="00DD2366">
            <w:pPr>
              <w:spacing w:after="0" w:line="240" w:lineRule="auto"/>
              <w:ind w:left="60" w:right="60"/>
              <w:jc w:val="center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Lower</w:t>
            </w:r>
          </w:p>
        </w:tc>
        <w:tc>
          <w:tcPr>
            <w:tcW w:w="1185" w:type="dxa"/>
            <w:tcBorders>
              <w:left w:val="single" w:sz="8" w:space="0" w:color="E0E0E0"/>
              <w:bottom w:val="single" w:sz="8" w:space="0" w:color="152935"/>
            </w:tcBorders>
            <w:vAlign w:val="bottom"/>
          </w:tcPr>
          <w:p w14:paraId="2395E354" w14:textId="77777777" w:rsidR="003D28B9" w:rsidRDefault="003D28B9" w:rsidP="00DD2366">
            <w:pPr>
              <w:spacing w:after="0" w:line="240" w:lineRule="auto"/>
              <w:ind w:left="60" w:right="60"/>
              <w:jc w:val="center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Upper</w:t>
            </w:r>
          </w:p>
        </w:tc>
      </w:tr>
      <w:tr w:rsidR="003D28B9" w14:paraId="5EFD8C3F" w14:textId="77777777" w:rsidTr="00DD2366">
        <w:tc>
          <w:tcPr>
            <w:tcW w:w="1050" w:type="dxa"/>
            <w:tcBorders>
              <w:top w:val="single" w:sz="8" w:space="0" w:color="152935"/>
              <w:bottom w:val="single" w:sz="8" w:space="0" w:color="BFBFBF" w:themeColor="background1" w:themeShade="BF"/>
            </w:tcBorders>
          </w:tcPr>
          <w:p w14:paraId="2C646C17" w14:textId="77777777" w:rsidR="003D28B9" w:rsidRDefault="003D28B9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 xml:space="preserve"> I-I</w:t>
            </w:r>
          </w:p>
        </w:tc>
        <w:tc>
          <w:tcPr>
            <w:tcW w:w="1065" w:type="dxa"/>
            <w:tcBorders>
              <w:top w:val="single" w:sz="8" w:space="0" w:color="152935"/>
              <w:bottom w:val="single" w:sz="8" w:space="0" w:color="AEAEAE"/>
            </w:tcBorders>
          </w:tcPr>
          <w:p w14:paraId="239381D4" w14:textId="77777777" w:rsidR="003D28B9" w:rsidRDefault="003D28B9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 I-I</w:t>
            </w:r>
          </w:p>
        </w:tc>
        <w:tc>
          <w:tcPr>
            <w:tcW w:w="1815" w:type="dxa"/>
            <w:tcBorders>
              <w:top w:val="single" w:sz="8" w:space="0" w:color="152935"/>
              <w:bottom w:val="single" w:sz="8" w:space="0" w:color="AEAEAE"/>
              <w:right w:val="single" w:sz="8" w:space="0" w:color="E0E0E0"/>
            </w:tcBorders>
          </w:tcPr>
          <w:p w14:paraId="6CE862D4" w14:textId="77777777" w:rsidR="003D28B9" w:rsidRDefault="003D28B9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sz w:val="18"/>
                <w:szCs w:val="18"/>
              </w:rPr>
              <w:t>-132.71 ± 328.9</w:t>
            </w:r>
          </w:p>
        </w:tc>
        <w:tc>
          <w:tcPr>
            <w:tcW w:w="102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14:paraId="2A243D6D" w14:textId="77777777" w:rsidR="003D28B9" w:rsidRDefault="003D28B9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sz w:val="18"/>
                <w:szCs w:val="18"/>
              </w:rPr>
              <w:t>.687</w:t>
            </w:r>
          </w:p>
        </w:tc>
        <w:tc>
          <w:tcPr>
            <w:tcW w:w="133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14:paraId="4B555357" w14:textId="77777777" w:rsidR="003D28B9" w:rsidRDefault="003D28B9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sz w:val="18"/>
                <w:szCs w:val="18"/>
              </w:rPr>
              <w:t>-777.3489</w:t>
            </w:r>
          </w:p>
        </w:tc>
        <w:tc>
          <w:tcPr>
            <w:tcW w:w="11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</w:tcBorders>
          </w:tcPr>
          <w:p w14:paraId="236B1B28" w14:textId="77777777" w:rsidR="003D28B9" w:rsidRDefault="003D28B9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sz w:val="18"/>
                <w:szCs w:val="18"/>
              </w:rPr>
              <w:t>511.9327</w:t>
            </w:r>
          </w:p>
        </w:tc>
      </w:tr>
      <w:tr w:rsidR="003D28B9" w14:paraId="34535371" w14:textId="77777777" w:rsidTr="00DD2366">
        <w:tc>
          <w:tcPr>
            <w:tcW w:w="105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3FFA2800" w14:textId="77777777" w:rsidR="003D28B9" w:rsidRDefault="003D28B9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 xml:space="preserve"> I-E</w:t>
            </w:r>
          </w:p>
        </w:tc>
        <w:tc>
          <w:tcPr>
            <w:tcW w:w="1065" w:type="dxa"/>
            <w:tcBorders>
              <w:top w:val="single" w:sz="8" w:space="0" w:color="AEAEAE"/>
              <w:bottom w:val="single" w:sz="8" w:space="0" w:color="AEAEAE"/>
            </w:tcBorders>
          </w:tcPr>
          <w:p w14:paraId="7ADD5D0A" w14:textId="77777777" w:rsidR="003D28B9" w:rsidRDefault="003D28B9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 I-E</w:t>
            </w:r>
          </w:p>
        </w:tc>
        <w:tc>
          <w:tcPr>
            <w:tcW w:w="1815" w:type="dxa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</w:tcPr>
          <w:p w14:paraId="19474F0F" w14:textId="77777777" w:rsidR="003D28B9" w:rsidRDefault="003D28B9" w:rsidP="00DD2366">
            <w:pPr>
              <w:spacing w:after="0" w:line="240" w:lineRule="auto"/>
              <w:ind w:left="60" w:right="60"/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SansSerif" w:eastAsia="SansSerif" w:hAnsi="SansSerif" w:cs="SansSerif"/>
                <w:sz w:val="18"/>
                <w:szCs w:val="18"/>
              </w:rPr>
              <w:t>-1212.91 ± 453.41</w:t>
            </w:r>
          </w:p>
        </w:tc>
        <w:tc>
          <w:tcPr>
            <w:tcW w:w="10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14:paraId="5FB0A0D4" w14:textId="77777777" w:rsidR="003D28B9" w:rsidRDefault="003D28B9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sz w:val="18"/>
                <w:szCs w:val="18"/>
              </w:rPr>
              <w:t>.007</w:t>
            </w:r>
          </w:p>
        </w:tc>
        <w:tc>
          <w:tcPr>
            <w:tcW w:w="13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14:paraId="1616CF91" w14:textId="77777777" w:rsidR="003D28B9" w:rsidRDefault="003D28B9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sz w:val="18"/>
                <w:szCs w:val="18"/>
              </w:rPr>
              <w:t>-2101.5665</w:t>
            </w:r>
          </w:p>
        </w:tc>
        <w:tc>
          <w:tcPr>
            <w:tcW w:w="11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</w:tcPr>
          <w:p w14:paraId="0425AC65" w14:textId="77777777" w:rsidR="003D28B9" w:rsidRDefault="003D28B9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sz w:val="18"/>
                <w:szCs w:val="18"/>
              </w:rPr>
              <w:t>-324.2512</w:t>
            </w:r>
          </w:p>
        </w:tc>
      </w:tr>
      <w:tr w:rsidR="003D28B9" w14:paraId="5CED5A5D" w14:textId="77777777" w:rsidTr="00DD2366">
        <w:tc>
          <w:tcPr>
            <w:tcW w:w="105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BB4EB17" w14:textId="77777777" w:rsidR="003D28B9" w:rsidRDefault="003D28B9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 xml:space="preserve"> E-I</w:t>
            </w:r>
          </w:p>
        </w:tc>
        <w:tc>
          <w:tcPr>
            <w:tcW w:w="1065" w:type="dxa"/>
            <w:tcBorders>
              <w:top w:val="single" w:sz="8" w:space="0" w:color="AEAEAE"/>
              <w:bottom w:val="single" w:sz="8" w:space="0" w:color="AEAEAE"/>
            </w:tcBorders>
          </w:tcPr>
          <w:p w14:paraId="66ABD7C6" w14:textId="77777777" w:rsidR="003D28B9" w:rsidRDefault="003D28B9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 E-I</w:t>
            </w:r>
          </w:p>
        </w:tc>
        <w:tc>
          <w:tcPr>
            <w:tcW w:w="1815" w:type="dxa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</w:tcPr>
          <w:p w14:paraId="6981C209" w14:textId="77777777" w:rsidR="003D28B9" w:rsidRDefault="003D28B9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sz w:val="18"/>
                <w:szCs w:val="18"/>
              </w:rPr>
              <w:t>-132.50 ± 161.51</w:t>
            </w:r>
          </w:p>
        </w:tc>
        <w:tc>
          <w:tcPr>
            <w:tcW w:w="10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14:paraId="31FDBDD2" w14:textId="77777777" w:rsidR="003D28B9" w:rsidRDefault="003D28B9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sz w:val="18"/>
                <w:szCs w:val="18"/>
              </w:rPr>
              <w:t>.412</w:t>
            </w:r>
          </w:p>
        </w:tc>
        <w:tc>
          <w:tcPr>
            <w:tcW w:w="13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14:paraId="6E67E000" w14:textId="77777777" w:rsidR="003D28B9" w:rsidRDefault="003D28B9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sz w:val="18"/>
                <w:szCs w:val="18"/>
              </w:rPr>
              <w:t>-449.0515</w:t>
            </w:r>
          </w:p>
        </w:tc>
        <w:tc>
          <w:tcPr>
            <w:tcW w:w="11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</w:tcPr>
          <w:p w14:paraId="2209617A" w14:textId="77777777" w:rsidR="003D28B9" w:rsidRDefault="003D28B9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sz w:val="18"/>
                <w:szCs w:val="18"/>
              </w:rPr>
              <w:t>184.0435</w:t>
            </w:r>
          </w:p>
        </w:tc>
      </w:tr>
      <w:tr w:rsidR="003D28B9" w14:paraId="1B5B67B1" w14:textId="77777777" w:rsidTr="00DD2366">
        <w:tc>
          <w:tcPr>
            <w:tcW w:w="1050" w:type="dxa"/>
            <w:tcBorders>
              <w:top w:val="single" w:sz="8" w:space="0" w:color="BFBFBF" w:themeColor="background1" w:themeShade="BF"/>
              <w:bottom w:val="single" w:sz="8" w:space="0" w:color="000000"/>
            </w:tcBorders>
          </w:tcPr>
          <w:p w14:paraId="18B081D9" w14:textId="77777777" w:rsidR="003D28B9" w:rsidRDefault="003D28B9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 xml:space="preserve"> E-E</w:t>
            </w:r>
          </w:p>
        </w:tc>
        <w:tc>
          <w:tcPr>
            <w:tcW w:w="1065" w:type="dxa"/>
            <w:tcBorders>
              <w:top w:val="single" w:sz="8" w:space="0" w:color="AEAEAE"/>
              <w:bottom w:val="single" w:sz="8" w:space="0" w:color="000000"/>
            </w:tcBorders>
          </w:tcPr>
          <w:p w14:paraId="46721010" w14:textId="77777777" w:rsidR="003D28B9" w:rsidRDefault="003D28B9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 E-E</w:t>
            </w:r>
          </w:p>
        </w:tc>
        <w:tc>
          <w:tcPr>
            <w:tcW w:w="1815" w:type="dxa"/>
            <w:tcBorders>
              <w:top w:val="single" w:sz="8" w:space="0" w:color="AEAEAE"/>
              <w:bottom w:val="single" w:sz="8" w:space="0" w:color="000000"/>
              <w:right w:val="single" w:sz="8" w:space="0" w:color="E0E0E0"/>
            </w:tcBorders>
          </w:tcPr>
          <w:p w14:paraId="20DF126D" w14:textId="77777777" w:rsidR="003D28B9" w:rsidRDefault="003D28B9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sz w:val="18"/>
                <w:szCs w:val="18"/>
              </w:rPr>
              <w:t>55.10 ± 95.18</w:t>
            </w:r>
          </w:p>
        </w:tc>
        <w:tc>
          <w:tcPr>
            <w:tcW w:w="1020" w:type="dxa"/>
            <w:tcBorders>
              <w:top w:val="single" w:sz="8" w:space="0" w:color="AEAEAE"/>
              <w:left w:val="single" w:sz="8" w:space="0" w:color="E0E0E0"/>
              <w:bottom w:val="single" w:sz="8" w:space="0" w:color="000000"/>
              <w:right w:val="single" w:sz="8" w:space="0" w:color="E0E0E0"/>
            </w:tcBorders>
          </w:tcPr>
          <w:p w14:paraId="28D2A68E" w14:textId="77777777" w:rsidR="003D28B9" w:rsidRDefault="003D28B9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sz w:val="18"/>
                <w:szCs w:val="18"/>
              </w:rPr>
              <w:t>.563</w:t>
            </w:r>
          </w:p>
        </w:tc>
        <w:tc>
          <w:tcPr>
            <w:tcW w:w="1335" w:type="dxa"/>
            <w:tcBorders>
              <w:top w:val="single" w:sz="8" w:space="0" w:color="AEAEAE"/>
              <w:left w:val="single" w:sz="8" w:space="0" w:color="E0E0E0"/>
              <w:bottom w:val="single" w:sz="8" w:space="0" w:color="000000"/>
              <w:right w:val="single" w:sz="8" w:space="0" w:color="E0E0E0"/>
            </w:tcBorders>
          </w:tcPr>
          <w:p w14:paraId="344C6FF3" w14:textId="77777777" w:rsidR="003D28B9" w:rsidRDefault="003D28B9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sz w:val="18"/>
                <w:szCs w:val="18"/>
              </w:rPr>
              <w:t>-131.4470</w:t>
            </w:r>
          </w:p>
        </w:tc>
        <w:tc>
          <w:tcPr>
            <w:tcW w:w="1185" w:type="dxa"/>
            <w:tcBorders>
              <w:top w:val="single" w:sz="8" w:space="0" w:color="AEAEAE"/>
              <w:left w:val="single" w:sz="8" w:space="0" w:color="E0E0E0"/>
              <w:bottom w:val="single" w:sz="8" w:space="0" w:color="000000"/>
            </w:tcBorders>
          </w:tcPr>
          <w:p w14:paraId="736F995D" w14:textId="77777777" w:rsidR="003D28B9" w:rsidRDefault="003D28B9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sz w:val="18"/>
                <w:szCs w:val="18"/>
              </w:rPr>
              <w:t>241.6560</w:t>
            </w:r>
          </w:p>
        </w:tc>
      </w:tr>
      <w:tr w:rsidR="003D28B9" w14:paraId="1E160545" w14:textId="77777777" w:rsidTr="00DD2366">
        <w:trPr>
          <w:trHeight w:val="380"/>
        </w:trPr>
        <w:tc>
          <w:tcPr>
            <w:tcW w:w="7470" w:type="dxa"/>
            <w:gridSpan w:val="6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CA5C227" w14:textId="77777777" w:rsidR="003D28B9" w:rsidRDefault="003D28B9" w:rsidP="00DD2366">
            <w:pPr>
              <w:spacing w:after="0" w:line="240" w:lineRule="auto"/>
              <w:ind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sz w:val="18"/>
                <w:szCs w:val="18"/>
              </w:rPr>
              <w:t>Mean differences, p-values, and confidence intervals were derived from comparison of estimated marginal means from generalized estimating equations.</w:t>
            </w:r>
          </w:p>
        </w:tc>
      </w:tr>
    </w:tbl>
    <w:p w14:paraId="6F363148" w14:textId="350DEC2C" w:rsidR="00216295" w:rsidRPr="003D28B9" w:rsidRDefault="00216295" w:rsidP="003D28B9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sectPr w:rsidR="00216295" w:rsidRPr="003D2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mbria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B9"/>
    <w:rsid w:val="00216295"/>
    <w:rsid w:val="003D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37A0"/>
  <w15:chartTrackingRefBased/>
  <w15:docId w15:val="{228EE863-D2E4-4B2E-ACFD-C5E13D67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Carmona</dc:creator>
  <cp:keywords/>
  <dc:description/>
  <cp:lastModifiedBy>Vicente Carmona</cp:lastModifiedBy>
  <cp:revision>1</cp:revision>
  <dcterms:created xsi:type="dcterms:W3CDTF">2020-12-14T19:18:00Z</dcterms:created>
  <dcterms:modified xsi:type="dcterms:W3CDTF">2020-12-14T19:19:00Z</dcterms:modified>
</cp:coreProperties>
</file>