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35"/>
        <w:gridCol w:w="1050"/>
        <w:gridCol w:w="1065"/>
        <w:gridCol w:w="1845"/>
        <w:gridCol w:w="1005"/>
        <w:gridCol w:w="1290"/>
        <w:gridCol w:w="1305"/>
      </w:tblGrid>
      <w:tr w:rsidR="000D5E81" w14:paraId="0E2BDAA8" w14:textId="77777777" w:rsidTr="00D64A00">
        <w:trPr>
          <w:trHeight w:val="440"/>
        </w:trPr>
        <w:tc>
          <w:tcPr>
            <w:tcW w:w="8895" w:type="dxa"/>
            <w:gridSpan w:val="7"/>
            <w:tcBorders>
              <w:top w:val="single" w:sz="8" w:space="0" w:color="FFFFFF"/>
              <w:left w:val="single" w:sz="8" w:space="0" w:color="FFFFFF"/>
              <w:right w:val="nil"/>
            </w:tcBorders>
            <w:vAlign w:val="bottom"/>
          </w:tcPr>
          <w:p w14:paraId="72930B77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b/>
                <w:sz w:val="20"/>
                <w:szCs w:val="20"/>
              </w:rPr>
              <w:t xml:space="preserve">Figure 2-1 - Synapse Counts, Density, and </w:t>
            </w:r>
            <w:proofErr w:type="spellStart"/>
            <w:r>
              <w:rPr>
                <w:rFonts w:ascii="SansSerif" w:eastAsia="SansSerif" w:hAnsi="SansSerif" w:cs="SansSerif"/>
                <w:b/>
                <w:sz w:val="20"/>
                <w:szCs w:val="20"/>
              </w:rPr>
              <w:t>mPSC</w:t>
            </w:r>
            <w:proofErr w:type="spellEnd"/>
            <w:r>
              <w:rPr>
                <w:rFonts w:ascii="SansSerif" w:eastAsia="SansSerif" w:hAnsi="SansSerif" w:cs="SansSerif"/>
                <w:b/>
                <w:sz w:val="20"/>
                <w:szCs w:val="20"/>
              </w:rPr>
              <w:t xml:space="preserve"> frequency</w:t>
            </w:r>
          </w:p>
        </w:tc>
      </w:tr>
      <w:tr w:rsidR="000D5E81" w14:paraId="1AADE160" w14:textId="77777777" w:rsidTr="00D64A00">
        <w:trPr>
          <w:trHeight w:val="380"/>
        </w:trPr>
        <w:tc>
          <w:tcPr>
            <w:tcW w:w="3450" w:type="dxa"/>
            <w:gridSpan w:val="3"/>
            <w:vMerge w:val="restart"/>
            <w:vAlign w:val="bottom"/>
          </w:tcPr>
          <w:p w14:paraId="43700D69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  <w:p w14:paraId="3CBF5FB1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  <w:p w14:paraId="14C6EE62" w14:textId="77777777" w:rsidR="000D5E81" w:rsidRDefault="000D5E81" w:rsidP="00D64A00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Comparison</w:t>
            </w:r>
          </w:p>
          <w:p w14:paraId="2EB3DA5A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right w:val="single" w:sz="8" w:space="0" w:color="E0E0E0"/>
            </w:tcBorders>
            <w:vAlign w:val="bottom"/>
          </w:tcPr>
          <w:p w14:paraId="44CC83BD" w14:textId="77777777" w:rsidR="000D5E81" w:rsidRDefault="000D5E81" w:rsidP="00D64A00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Mean Difference</w:t>
            </w:r>
          </w:p>
        </w:tc>
        <w:tc>
          <w:tcPr>
            <w:tcW w:w="1005" w:type="dxa"/>
            <w:vMerge w:val="restart"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74E6C9B7" w14:textId="77777777" w:rsidR="000D5E81" w:rsidRDefault="000D5E81" w:rsidP="00D64A00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P-value</w:t>
            </w:r>
          </w:p>
        </w:tc>
        <w:tc>
          <w:tcPr>
            <w:tcW w:w="2595" w:type="dxa"/>
            <w:gridSpan w:val="2"/>
            <w:tcBorders>
              <w:left w:val="single" w:sz="8" w:space="0" w:color="E0E0E0"/>
            </w:tcBorders>
            <w:vAlign w:val="bottom"/>
          </w:tcPr>
          <w:p w14:paraId="54D56C70" w14:textId="77777777" w:rsidR="000D5E81" w:rsidRDefault="000D5E81" w:rsidP="00D64A00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95% Wald Confidence Interval for Difference</w:t>
            </w:r>
          </w:p>
        </w:tc>
      </w:tr>
      <w:tr w:rsidR="000D5E81" w14:paraId="00D5D92C" w14:textId="77777777" w:rsidTr="00D64A00">
        <w:trPr>
          <w:trHeight w:val="440"/>
        </w:trPr>
        <w:tc>
          <w:tcPr>
            <w:tcW w:w="3450" w:type="dxa"/>
            <w:gridSpan w:val="3"/>
            <w:vMerge/>
            <w:vAlign w:val="bottom"/>
          </w:tcPr>
          <w:p w14:paraId="1BABEDCE" w14:textId="77777777" w:rsidR="000D5E81" w:rsidRDefault="000D5E81" w:rsidP="00D64A00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right w:val="single" w:sz="8" w:space="0" w:color="E0E0E0"/>
            </w:tcBorders>
            <w:vAlign w:val="bottom"/>
          </w:tcPr>
          <w:p w14:paraId="2DCEA7B7" w14:textId="77777777" w:rsidR="000D5E81" w:rsidRDefault="000D5E81" w:rsidP="00D64A00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6C04F3F1" w14:textId="77777777" w:rsidR="000D5E81" w:rsidRDefault="000D5E81" w:rsidP="00D64A00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14:paraId="150F43F0" w14:textId="77777777" w:rsidR="000D5E81" w:rsidRDefault="000D5E81" w:rsidP="00D64A00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Lower</w:t>
            </w:r>
          </w:p>
        </w:tc>
        <w:tc>
          <w:tcPr>
            <w:tcW w:w="1305" w:type="dxa"/>
            <w:tcBorders>
              <w:left w:val="single" w:sz="8" w:space="0" w:color="E0E0E0"/>
              <w:bottom w:val="single" w:sz="8" w:space="0" w:color="152935"/>
            </w:tcBorders>
            <w:vAlign w:val="bottom"/>
          </w:tcPr>
          <w:p w14:paraId="05AE0A82" w14:textId="77777777" w:rsidR="000D5E81" w:rsidRDefault="000D5E81" w:rsidP="00D64A00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Upper</w:t>
            </w:r>
          </w:p>
        </w:tc>
      </w:tr>
      <w:tr w:rsidR="000D5E81" w14:paraId="64D1DE9A" w14:textId="77777777" w:rsidTr="00D64A00">
        <w:trPr>
          <w:trHeight w:val="380"/>
        </w:trPr>
        <w:tc>
          <w:tcPr>
            <w:tcW w:w="1335" w:type="dxa"/>
            <w:vMerge w:val="restart"/>
            <w:tcBorders>
              <w:top w:val="single" w:sz="8" w:space="0" w:color="152935"/>
            </w:tcBorders>
          </w:tcPr>
          <w:p w14:paraId="26F92C73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Counts</w:t>
            </w:r>
          </w:p>
        </w:tc>
        <w:tc>
          <w:tcPr>
            <w:tcW w:w="1050" w:type="dxa"/>
            <w:tcBorders>
              <w:top w:val="single" w:sz="8" w:space="0" w:color="152935"/>
              <w:bottom w:val="single" w:sz="8" w:space="0" w:color="E0E0E0"/>
            </w:tcBorders>
          </w:tcPr>
          <w:p w14:paraId="402B0BD9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I-I</w:t>
            </w:r>
          </w:p>
        </w:tc>
        <w:tc>
          <w:tcPr>
            <w:tcW w:w="1065" w:type="dxa"/>
            <w:tcBorders>
              <w:top w:val="single" w:sz="8" w:space="0" w:color="152935"/>
              <w:bottom w:val="single" w:sz="8" w:space="0" w:color="E0E0E0"/>
            </w:tcBorders>
          </w:tcPr>
          <w:p w14:paraId="4E726188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I-I</w:t>
            </w:r>
          </w:p>
        </w:tc>
        <w:tc>
          <w:tcPr>
            <w:tcW w:w="1845" w:type="dxa"/>
            <w:tcBorders>
              <w:top w:val="single" w:sz="8" w:space="0" w:color="152935"/>
              <w:bottom w:val="single" w:sz="8" w:space="0" w:color="E0E0E0"/>
              <w:right w:val="single" w:sz="8" w:space="0" w:color="E0E0E0"/>
            </w:tcBorders>
          </w:tcPr>
          <w:p w14:paraId="15146A89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-42.50</w:t>
            </w:r>
          </w:p>
        </w:tc>
        <w:tc>
          <w:tcPr>
            <w:tcW w:w="10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7D23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0.171</w:t>
            </w:r>
          </w:p>
        </w:tc>
        <w:tc>
          <w:tcPr>
            <w:tcW w:w="12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8C75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-103.34</w:t>
            </w:r>
          </w:p>
        </w:tc>
        <w:tc>
          <w:tcPr>
            <w:tcW w:w="13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71E477B9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18.33</w:t>
            </w:r>
          </w:p>
        </w:tc>
      </w:tr>
      <w:tr w:rsidR="000D5E81" w14:paraId="687C452E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6255B773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0D6B9A23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I-E</w:t>
            </w:r>
          </w:p>
        </w:tc>
        <w:tc>
          <w:tcPr>
            <w:tcW w:w="1065" w:type="dxa"/>
          </w:tcPr>
          <w:p w14:paraId="7404DEA5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I-E</w:t>
            </w:r>
          </w:p>
        </w:tc>
        <w:tc>
          <w:tcPr>
            <w:tcW w:w="1845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</w:tcPr>
          <w:p w14:paraId="79DE470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-237.40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84870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0.256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FC9A0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-647.14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1C46F04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172.34</w:t>
            </w:r>
          </w:p>
        </w:tc>
      </w:tr>
      <w:tr w:rsidR="000D5E81" w14:paraId="1B4D9B6C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0276E5CF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000000" w:themeColor="text1"/>
            </w:tcBorders>
          </w:tcPr>
          <w:p w14:paraId="265ADF7D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E-I</w:t>
            </w:r>
          </w:p>
        </w:tc>
        <w:tc>
          <w:tcPr>
            <w:tcW w:w="1065" w:type="dxa"/>
            <w:tcBorders>
              <w:bottom w:val="single" w:sz="8" w:space="0" w:color="AEAEAE"/>
            </w:tcBorders>
          </w:tcPr>
          <w:p w14:paraId="073C751D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E-I</w:t>
            </w:r>
          </w:p>
        </w:tc>
        <w:tc>
          <w:tcPr>
            <w:tcW w:w="1845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</w:tcPr>
          <w:p w14:paraId="35659494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-163.22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1D0B4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0.055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0423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-329.76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61E7F923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3.32</w:t>
            </w:r>
          </w:p>
        </w:tc>
      </w:tr>
      <w:tr w:rsidR="000D5E81" w14:paraId="108D0AB9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0B503157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 w:themeColor="text1"/>
            </w:tcBorders>
          </w:tcPr>
          <w:p w14:paraId="1E818570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E-E</w:t>
            </w:r>
          </w:p>
        </w:tc>
        <w:tc>
          <w:tcPr>
            <w:tcW w:w="1065" w:type="dxa"/>
          </w:tcPr>
          <w:p w14:paraId="69E8E151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E-E</w:t>
            </w:r>
          </w:p>
        </w:tc>
        <w:tc>
          <w:tcPr>
            <w:tcW w:w="1845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</w:tcPr>
          <w:p w14:paraId="2618D32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-263.38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8E97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0.051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053F7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-527.57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6332023F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0.82</w:t>
            </w:r>
          </w:p>
        </w:tc>
      </w:tr>
      <w:tr w:rsidR="000D5E81" w14:paraId="1DB5CD6F" w14:textId="77777777" w:rsidTr="00D64A00">
        <w:trPr>
          <w:trHeight w:val="380"/>
        </w:trPr>
        <w:tc>
          <w:tcPr>
            <w:tcW w:w="1335" w:type="dxa"/>
            <w:vMerge w:val="restart"/>
            <w:tcBorders>
              <w:top w:val="single" w:sz="8" w:space="0" w:color="152935"/>
            </w:tcBorders>
          </w:tcPr>
          <w:p w14:paraId="0DE11AE6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Density</w:t>
            </w:r>
          </w:p>
        </w:tc>
        <w:tc>
          <w:tcPr>
            <w:tcW w:w="1050" w:type="dxa"/>
            <w:tcBorders>
              <w:top w:val="single" w:sz="8" w:space="0" w:color="152935"/>
              <w:bottom w:val="single" w:sz="8" w:space="0" w:color="E0E0E0"/>
            </w:tcBorders>
          </w:tcPr>
          <w:p w14:paraId="0FD1AC2B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I-I</w:t>
            </w:r>
          </w:p>
        </w:tc>
        <w:tc>
          <w:tcPr>
            <w:tcW w:w="1065" w:type="dxa"/>
            <w:tcBorders>
              <w:top w:val="single" w:sz="8" w:space="0" w:color="152935"/>
              <w:bottom w:val="single" w:sz="8" w:space="0" w:color="E0E0E0"/>
            </w:tcBorders>
          </w:tcPr>
          <w:p w14:paraId="79C6B373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I-I</w:t>
            </w:r>
          </w:p>
        </w:tc>
        <w:tc>
          <w:tcPr>
            <w:tcW w:w="1845" w:type="dxa"/>
            <w:tcBorders>
              <w:bottom w:val="single" w:sz="8" w:space="0" w:color="BFBFBF" w:themeColor="background1" w:themeShade="BF"/>
              <w:right w:val="single" w:sz="8" w:space="0" w:color="E0E0E0"/>
            </w:tcBorders>
          </w:tcPr>
          <w:p w14:paraId="56DF4E1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-0.016</w:t>
            </w:r>
          </w:p>
        </w:tc>
        <w:tc>
          <w:tcPr>
            <w:tcW w:w="10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2D5C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0.022</w:t>
            </w:r>
          </w:p>
        </w:tc>
        <w:tc>
          <w:tcPr>
            <w:tcW w:w="12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08AA4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-0.030</w:t>
            </w:r>
          </w:p>
        </w:tc>
        <w:tc>
          <w:tcPr>
            <w:tcW w:w="13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44236A67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-0.002</w:t>
            </w:r>
          </w:p>
        </w:tc>
      </w:tr>
      <w:tr w:rsidR="000D5E81" w14:paraId="47B88A2D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6296DC5C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5090A8BC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I-E</w:t>
            </w:r>
          </w:p>
        </w:tc>
        <w:tc>
          <w:tcPr>
            <w:tcW w:w="1065" w:type="dxa"/>
          </w:tcPr>
          <w:p w14:paraId="58A6230A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I-E</w:t>
            </w:r>
          </w:p>
        </w:tc>
        <w:tc>
          <w:tcPr>
            <w:tcW w:w="18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789B224D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-0.065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FE4D9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0.055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B42DB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-0.131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26C0A64C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0.001</w:t>
            </w:r>
          </w:p>
        </w:tc>
      </w:tr>
      <w:tr w:rsidR="000D5E81" w14:paraId="76DC86F2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0D99AEA7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000000" w:themeColor="text1"/>
            </w:tcBorders>
          </w:tcPr>
          <w:p w14:paraId="5BCDE906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E-I</w:t>
            </w:r>
          </w:p>
        </w:tc>
        <w:tc>
          <w:tcPr>
            <w:tcW w:w="1065" w:type="dxa"/>
            <w:tcBorders>
              <w:bottom w:val="single" w:sz="8" w:space="0" w:color="AEAEAE"/>
            </w:tcBorders>
          </w:tcPr>
          <w:p w14:paraId="05717967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E-I</w:t>
            </w:r>
          </w:p>
        </w:tc>
        <w:tc>
          <w:tcPr>
            <w:tcW w:w="18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6D4B1F4F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-0.056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D110F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0.001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453E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-0.089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57947F17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-.022</w:t>
            </w:r>
          </w:p>
        </w:tc>
      </w:tr>
      <w:tr w:rsidR="000D5E81" w14:paraId="0C4A8138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0531D9D8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647EE48B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E-E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 w14:paraId="7312A7B9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E-E</w:t>
            </w:r>
          </w:p>
        </w:tc>
        <w:tc>
          <w:tcPr>
            <w:tcW w:w="1845" w:type="dxa"/>
            <w:tcBorders>
              <w:top w:val="single" w:sz="8" w:space="0" w:color="BFBFBF" w:themeColor="background1" w:themeShade="BF"/>
              <w:bottom w:val="single" w:sz="8" w:space="0" w:color="000000"/>
              <w:right w:val="single" w:sz="8" w:space="0" w:color="E0E0E0"/>
            </w:tcBorders>
          </w:tcPr>
          <w:p w14:paraId="2DB94E62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-0.090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0C7E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22C54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-0.134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646B87ED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-0.047</w:t>
            </w:r>
          </w:p>
        </w:tc>
      </w:tr>
      <w:tr w:rsidR="000D5E81" w14:paraId="526419DC" w14:textId="77777777" w:rsidTr="00D64A00">
        <w:trPr>
          <w:trHeight w:val="330"/>
        </w:trPr>
        <w:tc>
          <w:tcPr>
            <w:tcW w:w="1335" w:type="dxa"/>
            <w:vMerge w:val="restart"/>
            <w:tcBorders>
              <w:top w:val="single" w:sz="8" w:space="0" w:color="152935"/>
            </w:tcBorders>
          </w:tcPr>
          <w:p w14:paraId="214BE6F6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Somatic Synapse Counts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 w:themeColor="text1"/>
            </w:tcBorders>
          </w:tcPr>
          <w:p w14:paraId="77E825E2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I-I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 w:themeColor="text1"/>
            </w:tcBorders>
          </w:tcPr>
          <w:p w14:paraId="200249FC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I-I</w:t>
            </w:r>
          </w:p>
        </w:tc>
        <w:tc>
          <w:tcPr>
            <w:tcW w:w="1845" w:type="dxa"/>
            <w:tcBorders>
              <w:bottom w:val="single" w:sz="8" w:space="0" w:color="BFBFBF" w:themeColor="background1" w:themeShade="BF"/>
              <w:right w:val="single" w:sz="8" w:space="0" w:color="E0E0E0"/>
            </w:tcBorders>
          </w:tcPr>
          <w:p w14:paraId="12DD1E3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0.019</w:t>
            </w:r>
          </w:p>
        </w:tc>
        <w:tc>
          <w:tcPr>
            <w:tcW w:w="10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C08E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0.803</w:t>
            </w:r>
          </w:p>
        </w:tc>
        <w:tc>
          <w:tcPr>
            <w:tcW w:w="12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D79B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-0.128</w:t>
            </w:r>
          </w:p>
        </w:tc>
        <w:tc>
          <w:tcPr>
            <w:tcW w:w="13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3A43B42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0.165</w:t>
            </w:r>
          </w:p>
        </w:tc>
      </w:tr>
      <w:tr w:rsidR="000D5E81" w14:paraId="24A52A56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6540DBE5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0440CB45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I-E</w:t>
            </w:r>
          </w:p>
        </w:tc>
        <w:tc>
          <w:tcPr>
            <w:tcW w:w="1065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44C2B8D5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I-E</w:t>
            </w:r>
          </w:p>
        </w:tc>
        <w:tc>
          <w:tcPr>
            <w:tcW w:w="18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7D39A80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0.000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F2C6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0.994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6E640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-0.034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5B3BEAA2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0.034</w:t>
            </w:r>
          </w:p>
        </w:tc>
      </w:tr>
      <w:tr w:rsidR="000D5E81" w14:paraId="4B1DC006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</w:tcBorders>
          </w:tcPr>
          <w:p w14:paraId="6F55E4C7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000000" w:themeColor="text1"/>
            </w:tcBorders>
          </w:tcPr>
          <w:p w14:paraId="4D36A7B2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E-I</w:t>
            </w:r>
          </w:p>
        </w:tc>
        <w:tc>
          <w:tcPr>
            <w:tcW w:w="1065" w:type="dxa"/>
            <w:tcBorders>
              <w:bottom w:val="single" w:sz="8" w:space="0" w:color="000000" w:themeColor="text1"/>
            </w:tcBorders>
          </w:tcPr>
          <w:p w14:paraId="44CC25D0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E-I</w:t>
            </w:r>
          </w:p>
        </w:tc>
        <w:tc>
          <w:tcPr>
            <w:tcW w:w="18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66D387B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0.069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A2137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0.337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91B7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-0.072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71906273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0.209</w:t>
            </w:r>
          </w:p>
        </w:tc>
      </w:tr>
      <w:tr w:rsidR="000D5E81" w14:paraId="5569765C" w14:textId="77777777" w:rsidTr="00D64A00">
        <w:trPr>
          <w:trHeight w:val="380"/>
        </w:trPr>
        <w:tc>
          <w:tcPr>
            <w:tcW w:w="1335" w:type="dxa"/>
            <w:vMerge/>
            <w:tcBorders>
              <w:top w:val="single" w:sz="8" w:space="0" w:color="AEAEAE"/>
              <w:bottom w:val="single" w:sz="8" w:space="0" w:color="000000"/>
            </w:tcBorders>
          </w:tcPr>
          <w:p w14:paraId="4F5C95E6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2DEF6BBA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E-E</w:t>
            </w:r>
          </w:p>
        </w:tc>
        <w:tc>
          <w:tcPr>
            <w:tcW w:w="1065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550489DF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E-E</w:t>
            </w:r>
          </w:p>
        </w:tc>
        <w:tc>
          <w:tcPr>
            <w:tcW w:w="1845" w:type="dxa"/>
            <w:tcBorders>
              <w:top w:val="single" w:sz="8" w:space="0" w:color="BFBFBF" w:themeColor="background1" w:themeShade="BF"/>
              <w:bottom w:val="single" w:sz="8" w:space="0" w:color="000000"/>
              <w:right w:val="single" w:sz="8" w:space="0" w:color="E0E0E0"/>
            </w:tcBorders>
          </w:tcPr>
          <w:p w14:paraId="2A2A1EE8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0.012</w:t>
            </w:r>
          </w:p>
        </w:tc>
        <w:tc>
          <w:tcPr>
            <w:tcW w:w="100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2CF07D87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0.485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210C765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-0.022</w:t>
            </w:r>
          </w:p>
        </w:tc>
        <w:tc>
          <w:tcPr>
            <w:tcW w:w="130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  <w:shd w:val="clear" w:color="auto" w:fill="FFFFFF"/>
          </w:tcPr>
          <w:p w14:paraId="7623C5D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0.047</w:t>
            </w:r>
          </w:p>
        </w:tc>
      </w:tr>
      <w:tr w:rsidR="000D5E81" w14:paraId="09779EAD" w14:textId="77777777" w:rsidTr="00D64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E9C89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mPSC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Frequency per Synapse (</w:t>
            </w: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mHz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61F809EF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I-I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03A211AF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I-I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7B8D23B6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2.46</w:t>
            </w:r>
          </w:p>
        </w:tc>
        <w:tc>
          <w:tcPr>
            <w:tcW w:w="1005" w:type="dxa"/>
          </w:tcPr>
          <w:p w14:paraId="70A005B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.614</w:t>
            </w:r>
          </w:p>
        </w:tc>
        <w:tc>
          <w:tcPr>
            <w:tcW w:w="1290" w:type="dxa"/>
          </w:tcPr>
          <w:p w14:paraId="4607F60D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-7.09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A772FF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12.00</w:t>
            </w:r>
          </w:p>
        </w:tc>
      </w:tr>
      <w:tr w:rsidR="000D5E81" w14:paraId="61951F37" w14:textId="77777777" w:rsidTr="00D64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F1010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55E81F03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I-E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44FA90D4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I-E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5B92ED94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0.182</w:t>
            </w:r>
          </w:p>
        </w:tc>
        <w:tc>
          <w:tcPr>
            <w:tcW w:w="1005" w:type="dxa"/>
          </w:tcPr>
          <w:p w14:paraId="2EB13B6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.443</w:t>
            </w:r>
          </w:p>
        </w:tc>
        <w:tc>
          <w:tcPr>
            <w:tcW w:w="1290" w:type="dxa"/>
          </w:tcPr>
          <w:p w14:paraId="6041BDA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-0.283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5516AA6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0.647</w:t>
            </w:r>
          </w:p>
        </w:tc>
      </w:tr>
      <w:tr w:rsidR="000D5E81" w14:paraId="01461D5C" w14:textId="77777777" w:rsidTr="00D64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B7858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6EA48901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E-I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3928DEAE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E-I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6FF381A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6.96</w:t>
            </w:r>
          </w:p>
        </w:tc>
        <w:tc>
          <w:tcPr>
            <w:tcW w:w="1005" w:type="dxa"/>
          </w:tcPr>
          <w:p w14:paraId="6BC24965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.619</w:t>
            </w:r>
          </w:p>
        </w:tc>
        <w:tc>
          <w:tcPr>
            <w:tcW w:w="1290" w:type="dxa"/>
          </w:tcPr>
          <w:p w14:paraId="1786A49A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-20.50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36553A1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34.42</w:t>
            </w:r>
          </w:p>
        </w:tc>
      </w:tr>
      <w:tr w:rsidR="000D5E81" w14:paraId="2BC14690" w14:textId="77777777" w:rsidTr="00D64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C0A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4997CF9F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E-E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6004F308" w14:textId="77777777" w:rsidR="000D5E81" w:rsidRDefault="000D5E81" w:rsidP="00D64A00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E-E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38EC65C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2.07</w:t>
            </w:r>
          </w:p>
        </w:tc>
        <w:tc>
          <w:tcPr>
            <w:tcW w:w="1005" w:type="dxa"/>
          </w:tcPr>
          <w:p w14:paraId="600A58E4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290" w:type="dxa"/>
          </w:tcPr>
          <w:p w14:paraId="0801007E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-0.163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97C9733" w14:textId="77777777" w:rsidR="000D5E81" w:rsidRDefault="000D5E81" w:rsidP="00D64A00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4.30</w:t>
            </w:r>
          </w:p>
        </w:tc>
      </w:tr>
      <w:tr w:rsidR="000D5E81" w14:paraId="53B64B1F" w14:textId="77777777" w:rsidTr="00D64A00">
        <w:trPr>
          <w:trHeight w:val="380"/>
        </w:trPr>
        <w:tc>
          <w:tcPr>
            <w:tcW w:w="8895" w:type="dxa"/>
            <w:gridSpan w:val="7"/>
            <w:tcBorders>
              <w:left w:val="single" w:sz="8" w:space="0" w:color="FFFFFF"/>
              <w:bottom w:val="single" w:sz="8" w:space="0" w:color="FFFFFF"/>
              <w:right w:val="nil"/>
            </w:tcBorders>
          </w:tcPr>
          <w:p w14:paraId="30BCBD48" w14:textId="77777777" w:rsidR="000D5E81" w:rsidRDefault="000D5E81" w:rsidP="00D64A00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Mean differences, p-values, and confidence intervals were derived from comparison of estimated marginal means from generalized estimating equations.</w:t>
            </w:r>
          </w:p>
        </w:tc>
      </w:tr>
    </w:tbl>
    <w:p w14:paraId="3F38989C" w14:textId="4D3B2F51" w:rsidR="004C7AF3" w:rsidRDefault="004C7AF3"/>
    <w:sectPr w:rsidR="004C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81"/>
    <w:rsid w:val="000D5E81"/>
    <w:rsid w:val="004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0BEF"/>
  <w15:chartTrackingRefBased/>
  <w15:docId w15:val="{913155DF-88AB-4ED6-BC7E-FDFDA35B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2020-12-14T19:17:00Z</dcterms:created>
  <dcterms:modified xsi:type="dcterms:W3CDTF">2020-12-14T19:17:00Z</dcterms:modified>
</cp:coreProperties>
</file>