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line="360" w:lineRule="auto"/>
        <w:rPr>
          <w:lang w:val="en-US"/>
        </w:rPr>
      </w:pPr>
      <w:bookmarkStart w:id="0" w:name="_GoBack"/>
      <w:bookmarkEnd w:id="0"/>
    </w:p>
    <w:p>
      <w:pPr>
        <w:spacing w:line="360" w:lineRule="auto"/>
        <w:rPr>
          <w:b/>
          <w:bCs/>
          <w:lang w:val="en-US"/>
        </w:rPr>
      </w:pPr>
      <w:r>
        <w:rPr>
          <w:b/>
          <w:bCs/>
          <w:noProof/>
          <w:lang w:val="en-US" w:bidi="ar-SA"/>
        </w:rPr>
        <w:drawing>
          <wp:inline distT="0" distB="0" distL="0" distR="0">
            <wp:extent cx="3251070" cy="22732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 - Figure Supplement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070" cy="227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t>Figure 1-1. QR2 mRNA Expression is Unchanged in Brain Areas Not Associated with Taste Memory Following Novel Taste Consumption.</w:t>
      </w:r>
    </w:p>
    <w:p>
      <w:pPr>
        <w:spacing w:line="360" w:lineRule="auto"/>
        <w:rPr>
          <w:lang w:val="en-US"/>
        </w:rPr>
      </w:pPr>
      <w:r>
        <w:rPr>
          <w:b/>
          <w:bCs/>
          <w:lang w:val="en-US"/>
        </w:rPr>
        <w:t>a</w:t>
      </w:r>
      <w:r>
        <w:rPr>
          <w:lang w:val="en-US"/>
        </w:rPr>
        <w:t>)</w:t>
      </w:r>
      <w:r>
        <w:rPr>
          <w:b/>
          <w:bCs/>
          <w:lang w:val="en-US"/>
        </w:rPr>
        <w:t xml:space="preserve"> </w:t>
      </w:r>
      <w:r>
        <w:rPr>
          <w:lang w:val="en-US"/>
        </w:rPr>
        <w:t>QR2 mRNA</w:t>
      </w:r>
      <w:r>
        <w:rPr>
          <w:b/>
          <w:bCs/>
          <w:lang w:val="en-US"/>
        </w:rPr>
        <w:t xml:space="preserve"> </w:t>
      </w:r>
      <w:r>
        <w:rPr>
          <w:lang w:val="en-US"/>
        </w:rPr>
        <w:t xml:space="preserve">is unchanged in rat OC following novel taste consumption. </w:t>
      </w:r>
      <w:r>
        <w:rPr>
          <w:b/>
          <w:bCs/>
          <w:lang w:val="en-US"/>
        </w:rPr>
        <w:t>b</w:t>
      </w:r>
      <w:r>
        <w:rPr>
          <w:lang w:val="en-US"/>
        </w:rPr>
        <w:t>) QR2 mRNA is unchanged in mouse CA1 following novel taste consumption.</w:t>
      </w:r>
    </w:p>
    <w:p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>
      <w:pPr>
        <w:spacing w:line="360" w:lineRule="auto"/>
        <w:rPr>
          <w:b/>
          <w:bCs/>
          <w:lang w:val="en-US"/>
        </w:rPr>
      </w:pPr>
    </w:p>
    <w:p>
      <w:pPr>
        <w:spacing w:line="360" w:lineRule="auto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 w:bidi="ar-SA"/>
        </w:rPr>
        <w:drawing>
          <wp:inline distT="0" distB="0" distL="0" distR="0">
            <wp:extent cx="6120763" cy="21738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 - Figure Supplement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3" cy="217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en-US"/>
        </w:rPr>
        <w:t xml:space="preserve"> </w:t>
      </w:r>
    </w:p>
    <w:p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t xml:space="preserve">Figure 1-2. Lentivirus Containing </w:t>
      </w:r>
      <w:proofErr w:type="gramStart"/>
      <w:r>
        <w:rPr>
          <w:b/>
          <w:bCs/>
          <w:lang w:val="en-US"/>
        </w:rPr>
        <w:t>Either</w:t>
      </w:r>
      <w:proofErr w:type="gramEnd"/>
      <w:r>
        <w:rPr>
          <w:b/>
          <w:bCs/>
          <w:lang w:val="en-US"/>
        </w:rPr>
        <w:t xml:space="preserve"> shRNA Targeting QR2 or a Scrambled Control Injected to aIC Did Not Alter QR2 mRNA Expression in CA1. </w:t>
      </w:r>
    </w:p>
    <w:p>
      <w:pPr>
        <w:spacing w:line="360" w:lineRule="auto"/>
        <w:rPr>
          <w:lang w:val="en-US"/>
        </w:rPr>
      </w:pPr>
      <w:r>
        <w:rPr>
          <w:b/>
          <w:bCs/>
          <w:lang w:val="en-US"/>
        </w:rPr>
        <w:t>a</w:t>
      </w:r>
      <w:r>
        <w:rPr>
          <w:lang w:val="en-US"/>
        </w:rPr>
        <w:t>)</w:t>
      </w:r>
      <w:r>
        <w:rPr>
          <w:b/>
          <w:bCs/>
          <w:lang w:val="en-US"/>
        </w:rPr>
        <w:t xml:space="preserve"> </w:t>
      </w:r>
      <w:r>
        <w:rPr>
          <w:lang w:val="en-US"/>
        </w:rPr>
        <w:t>Diagram of lentivirus containing shRNA targeting QR2, or a scrambled control, used to reduce QR2 expression in mice.</w:t>
      </w:r>
      <w:r>
        <w:rPr>
          <w:b/>
          <w:bCs/>
          <w:lang w:val="en-US"/>
        </w:rPr>
        <w:t xml:space="preserve"> b</w:t>
      </w:r>
      <w:r>
        <w:rPr>
          <w:lang w:val="en-US"/>
        </w:rPr>
        <w:t>) QR2 expression in CA1 remains unaffected by local aIC infection with lentivirus harboring shRNA targeting QR2.</w:t>
      </w:r>
      <w:r>
        <w:rPr>
          <w:lang w:val="en-US"/>
        </w:rPr>
        <w:br w:type="page"/>
      </w:r>
    </w:p>
    <w:p>
      <w:pPr>
        <w:spacing w:line="360" w:lineRule="auto"/>
        <w:rPr>
          <w:b/>
          <w:bCs/>
          <w:lang w:val="en-US"/>
        </w:rPr>
      </w:pPr>
      <w:r>
        <w:rPr>
          <w:b/>
          <w:bCs/>
          <w:noProof/>
          <w:lang w:val="en-US" w:bidi="ar-SA"/>
        </w:rPr>
        <w:lastRenderedPageBreak/>
        <w:drawing>
          <wp:inline distT="0" distB="0" distL="0" distR="0">
            <wp:extent cx="4751855" cy="25222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855" cy="252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lang w:val="en-US"/>
        </w:rPr>
      </w:pPr>
      <w:bookmarkStart w:id="1" w:name="OLE_LINK6"/>
      <w:r>
        <w:rPr>
          <w:b/>
          <w:bCs/>
          <w:lang w:val="en-US"/>
        </w:rPr>
        <w:t xml:space="preserve">Figure </w:t>
      </w:r>
      <w:bookmarkEnd w:id="1"/>
      <w:r>
        <w:rPr>
          <w:b/>
          <w:bCs/>
          <w:lang w:val="en-US"/>
        </w:rPr>
        <w:t>2-1. Local aIC GABA</w:t>
      </w:r>
      <w:r>
        <w:rPr>
          <w:b/>
          <w:bCs/>
          <w:vertAlign w:val="subscript"/>
          <w:lang w:val="en-US"/>
        </w:rPr>
        <w:t>A</w:t>
      </w:r>
      <w:r>
        <w:rPr>
          <w:b/>
          <w:bCs/>
          <w:lang w:val="en-US"/>
        </w:rPr>
        <w:t xml:space="preserve"> Receptor Antagonism and Scopolamine Injections Do Not Affect QR2 mRNA in the Occipital Cortex. </w:t>
      </w:r>
    </w:p>
    <w:p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t>a</w:t>
      </w:r>
      <w:r>
        <w:rPr>
          <w:lang w:val="en-US"/>
        </w:rPr>
        <w:t>) QR2 mRNA expression is unchanged following novel taste or antagonism/</w:t>
      </w:r>
      <w:proofErr w:type="spellStart"/>
      <w:r>
        <w:rPr>
          <w:lang w:val="en-US"/>
        </w:rPr>
        <w:t>agonism</w:t>
      </w:r>
      <w:proofErr w:type="spellEnd"/>
      <w:r>
        <w:rPr>
          <w:lang w:val="en-US"/>
        </w:rPr>
        <w:t xml:space="preserve"> of GABA</w:t>
      </w:r>
      <w:r>
        <w:rPr>
          <w:vertAlign w:val="subscript"/>
          <w:lang w:val="en-US"/>
        </w:rPr>
        <w:t>A</w:t>
      </w:r>
      <w:r>
        <w:rPr>
          <w:lang w:val="en-US"/>
        </w:rPr>
        <w:t xml:space="preserve">R with bicuculline or muscimol locally in the aIC. </w:t>
      </w:r>
      <w:r>
        <w:rPr>
          <w:b/>
          <w:bCs/>
          <w:lang w:val="en-US"/>
        </w:rPr>
        <w:t>b</w:t>
      </w:r>
      <w:r>
        <w:rPr>
          <w:lang w:val="en-US"/>
        </w:rPr>
        <w:t>) QR2 expression remains unchanged in the OC of rats, following local antagonism of GABA</w:t>
      </w:r>
      <w:r>
        <w:rPr>
          <w:vertAlign w:val="subscript"/>
          <w:lang w:val="en-US"/>
        </w:rPr>
        <w:t>A</w:t>
      </w:r>
      <w:r>
        <w:rPr>
          <w:lang w:val="en-US"/>
        </w:rPr>
        <w:t>R in the aIC, with or without prior</w:t>
      </w:r>
      <w:r>
        <w:rPr>
          <w:b/>
          <w:bCs/>
          <w:lang w:val="en-US"/>
        </w:rPr>
        <w:t xml:space="preserve"> </w:t>
      </w:r>
      <w:r>
        <w:rPr>
          <w:lang w:val="en-US"/>
        </w:rPr>
        <w:t>injections of scopolamine.</w:t>
      </w:r>
      <w:r>
        <w:rPr>
          <w:b/>
          <w:bCs/>
          <w:lang w:val="en-US"/>
        </w:rPr>
        <w:br w:type="page"/>
      </w:r>
    </w:p>
    <w:p>
      <w:pPr>
        <w:spacing w:line="360" w:lineRule="auto"/>
        <w:rPr>
          <w:b/>
          <w:bCs/>
          <w:lang w:val="en-US"/>
        </w:rPr>
      </w:pPr>
      <w:r>
        <w:rPr>
          <w:b/>
          <w:bCs/>
          <w:noProof/>
          <w:lang w:val="en-US" w:bidi="ar-SA"/>
        </w:rPr>
        <w:lastRenderedPageBreak/>
        <w:drawing>
          <wp:inline distT="0" distB="0" distL="0" distR="0">
            <wp:extent cx="3177525" cy="253949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25" cy="253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lang w:val="en-US"/>
        </w:rPr>
      </w:pPr>
      <w:bookmarkStart w:id="2" w:name="OLE_LINK7"/>
      <w:r>
        <w:rPr>
          <w:b/>
          <w:bCs/>
          <w:lang w:val="en-US"/>
        </w:rPr>
        <w:t xml:space="preserve">Figure </w:t>
      </w:r>
      <w:bookmarkEnd w:id="2"/>
      <w:r>
        <w:rPr>
          <w:b/>
          <w:bCs/>
          <w:lang w:val="en-US"/>
        </w:rPr>
        <w:t xml:space="preserve">3-1. </w:t>
      </w:r>
      <w:proofErr w:type="gramStart"/>
      <w:r>
        <w:rPr>
          <w:b/>
          <w:bCs/>
          <w:lang w:val="en-US"/>
        </w:rPr>
        <w:t>miR-182</w:t>
      </w:r>
      <w:proofErr w:type="gramEnd"/>
      <w:r>
        <w:rPr>
          <w:b/>
          <w:bCs/>
          <w:lang w:val="en-US"/>
        </w:rPr>
        <w:t xml:space="preserve"> Expression Does Not Increase in the Mouse CA1 Following Novel Taste Consumption or in the Rat OC Following Pharmacological Manipulation Locally to the Rat aIC.</w:t>
      </w:r>
    </w:p>
    <w:p>
      <w:pPr>
        <w:spacing w:line="360" w:lineRule="auto"/>
        <w:rPr>
          <w:lang w:val="en-US"/>
        </w:rPr>
      </w:pPr>
      <w:r>
        <w:rPr>
          <w:b/>
          <w:bCs/>
          <w:lang w:val="en-US"/>
        </w:rPr>
        <w:t>a</w:t>
      </w:r>
      <w:r>
        <w:rPr>
          <w:lang w:val="en-US"/>
        </w:rPr>
        <w:t xml:space="preserve">) miR-182 levels remain unaltered in the CA1 of mice following novel taste consumption. </w:t>
      </w:r>
      <w:r>
        <w:rPr>
          <w:b/>
          <w:bCs/>
          <w:lang w:val="en-US"/>
        </w:rPr>
        <w:t>b</w:t>
      </w:r>
      <w:r>
        <w:rPr>
          <w:lang w:val="en-US"/>
        </w:rPr>
        <w:t>) miR-182 levels remain unchanged in the OC of rats, following local aIC antagonism of GABA</w:t>
      </w:r>
      <w:r>
        <w:rPr>
          <w:vertAlign w:val="subscript"/>
          <w:lang w:val="en-US"/>
        </w:rPr>
        <w:t>A</w:t>
      </w:r>
      <w:r>
        <w:rPr>
          <w:lang w:val="en-US"/>
        </w:rPr>
        <w:t>R with bicuculline, with or without prior injection of scopolamine.</w:t>
      </w:r>
      <w:r>
        <w:rPr>
          <w:lang w:val="en-US"/>
        </w:rPr>
        <w:br w:type="page"/>
      </w:r>
    </w:p>
    <w:p>
      <w:pPr>
        <w:spacing w:line="360" w:lineRule="auto"/>
        <w:rPr>
          <w:b/>
          <w:bCs/>
          <w:lang w:val="en-US"/>
        </w:rPr>
      </w:pPr>
    </w:p>
    <w:p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t>Figure 3-2. Predicted Hybridization Sites of miR-182 to QR2 mRNA in the Human, Mouse, and Rat Genome.</w:t>
      </w:r>
      <w:r>
        <w:rPr>
          <w:b/>
          <w:bCs/>
          <w:noProof/>
          <w:lang w:val="en-US" w:bidi="ar-SA"/>
        </w:rPr>
        <w:drawing>
          <wp:inline distT="0" distB="0" distL="0" distR="0">
            <wp:extent cx="6300470" cy="6979285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9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>
      <w:pPr>
        <w:spacing w:line="360" w:lineRule="auto"/>
        <w:rPr>
          <w:b/>
          <w:bCs/>
          <w:lang w:val="en-US"/>
        </w:rPr>
      </w:pPr>
      <w:r>
        <w:rPr>
          <w:b/>
          <w:bCs/>
          <w:noProof/>
          <w:lang w:val="en-US" w:bidi="ar-SA"/>
        </w:rPr>
        <w:lastRenderedPageBreak/>
        <w:drawing>
          <wp:inline distT="0" distB="0" distL="0" distR="0">
            <wp:extent cx="4122164" cy="26331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164" cy="263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t xml:space="preserve">Figure 4-1. Mice Injected to IC with a Lentivirus Expressing miR-182 Do Not Show Changes in QR2 mRNA or miR-182 Expression in the Hippocampus CA1. </w:t>
      </w:r>
    </w:p>
    <w:p>
      <w:pPr>
        <w:spacing w:line="360" w:lineRule="auto"/>
        <w:rPr>
          <w:lang w:val="en-US"/>
        </w:rPr>
      </w:pPr>
      <w:r>
        <w:rPr>
          <w:b/>
          <w:bCs/>
          <w:lang w:val="en-US"/>
        </w:rPr>
        <w:t>a</w:t>
      </w:r>
      <w:r>
        <w:rPr>
          <w:lang w:val="en-US"/>
        </w:rPr>
        <w:t xml:space="preserve">) miR-182 levels in CA1 were not elevated following local aIC infection with a lentivirus overexpressing miR-182. </w:t>
      </w:r>
      <w:r>
        <w:rPr>
          <w:b/>
          <w:bCs/>
          <w:lang w:val="en-US"/>
        </w:rPr>
        <w:t>b</w:t>
      </w:r>
      <w:r>
        <w:rPr>
          <w:lang w:val="en-US"/>
        </w:rPr>
        <w:t>) QR2 mRNA levels in CA1 were not changed following local aIC infection with a lentivirus overexpressing miR-182.</w:t>
      </w:r>
    </w:p>
    <w:p>
      <w:pPr>
        <w:spacing w:line="360" w:lineRule="auto"/>
        <w:rPr>
          <w:lang w:val="en-US"/>
        </w:rPr>
      </w:pPr>
      <w:r>
        <w:rPr>
          <w:lang w:val="en-US"/>
        </w:rPr>
        <w:t xml:space="preserve"> </w:t>
      </w:r>
      <w:r>
        <w:rPr>
          <w:lang w:val="en-US"/>
        </w:rPr>
        <w:br w:type="page"/>
      </w:r>
    </w:p>
    <w:p>
      <w:pPr>
        <w:pStyle w:val="NormalWeb"/>
        <w:spacing w:before="0" w:beforeAutospacing="0" w:after="0" w:afterAutospacing="0" w:line="360" w:lineRule="auto"/>
        <w:ind w:hanging="284"/>
        <w:rPr>
          <w:rFonts w:asciiTheme="minorHAnsi" w:eastAsiaTheme="minorHAnsi" w:hAnsiTheme="minorHAnsi" w:cstheme="minorBidi"/>
          <w:b/>
          <w:bCs/>
          <w:sz w:val="22"/>
          <w:szCs w:val="22"/>
          <w:lang w:val="en-US" w:eastAsia="en-US"/>
        </w:rPr>
      </w:pPr>
      <w:r>
        <w:rPr>
          <w:b/>
          <w:bCs/>
          <w:noProof/>
          <w:sz w:val="28"/>
          <w:szCs w:val="28"/>
          <w:lang w:val="en-US" w:eastAsia="en-US" w:bidi="ar-SA"/>
        </w:rPr>
        <w:lastRenderedPageBreak/>
        <w:drawing>
          <wp:inline distT="0" distB="0" distL="0" distR="0">
            <wp:extent cx="6687101" cy="664308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S 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101" cy="66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3" w:name="OLE_LINK5"/>
      <w:r>
        <w:rPr>
          <w:rFonts w:asciiTheme="minorHAnsi" w:eastAsiaTheme="minorHAnsi" w:hAnsiTheme="minorHAnsi" w:cstheme="minorBidi"/>
          <w:b/>
          <w:bCs/>
          <w:sz w:val="22"/>
          <w:szCs w:val="22"/>
          <w:lang w:val="en-US" w:eastAsia="en-US"/>
        </w:rPr>
        <w:t>Fig</w:t>
      </w:r>
      <w:bookmarkEnd w:id="3"/>
      <w:r>
        <w:rPr>
          <w:rFonts w:asciiTheme="minorHAnsi" w:eastAsiaTheme="minorHAnsi" w:hAnsiTheme="minorHAnsi" w:cstheme="minorBidi"/>
          <w:b/>
          <w:bCs/>
          <w:sz w:val="22"/>
          <w:szCs w:val="22"/>
          <w:lang w:val="en-US" w:eastAsia="en-US"/>
        </w:rPr>
        <w:t xml:space="preserve">ure 5-1. Time-Course of Menadiol Formation by QR2 Activity with or without S29434, Using Endogenous Brain Cytoplasmic Small Molecules as Co-Factors. </w:t>
      </w:r>
      <w:r>
        <w:rPr>
          <w:b/>
          <w:bCs/>
          <w:sz w:val="28"/>
          <w:szCs w:val="28"/>
          <w:lang w:val="en-US"/>
        </w:rPr>
        <w:br w:type="page"/>
      </w:r>
    </w:p>
    <w:p>
      <w:pPr>
        <w:spacing w:line="360" w:lineRule="auto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 w:bidi="ar-SA"/>
        </w:rPr>
        <w:lastRenderedPageBreak/>
        <w:drawing>
          <wp:inline distT="0" distB="0" distL="0" distR="0">
            <wp:extent cx="6310897" cy="331346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S 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897" cy="331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en-US"/>
        </w:rPr>
        <w:t xml:space="preserve"> </w:t>
      </w:r>
    </w:p>
    <w:p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t xml:space="preserve">Figure 5-2. Cysteine Redox in Kv2.1 is Sensitive to ROS Generated by QR2 Activity. </w:t>
      </w:r>
    </w:p>
    <w:p>
      <w:pPr>
        <w:spacing w:before="240" w:line="360" w:lineRule="auto"/>
        <w:rPr>
          <w:lang w:val="en-US"/>
        </w:rPr>
      </w:pPr>
      <w:r>
        <w:rPr>
          <w:b/>
          <w:bCs/>
          <w:lang w:val="en-US"/>
        </w:rPr>
        <w:t>a</w:t>
      </w:r>
      <w:r>
        <w:rPr>
          <w:lang w:val="en-US"/>
        </w:rPr>
        <w:t xml:space="preserve">) Kv2.1 blot following non reducing gel electrophoresis of mouse aIC. Top panel and bottom panel represent two separate experiments in which either lentivirus containing shRNA targeting QR2 mRNA or a scrambled control were injected to the mouse aIC. </w:t>
      </w:r>
      <w:r>
        <w:rPr>
          <w:b/>
          <w:bCs/>
          <w:lang w:val="en-US"/>
        </w:rPr>
        <w:t>b</w:t>
      </w:r>
      <w:r>
        <w:rPr>
          <w:lang w:val="en-US"/>
        </w:rPr>
        <w:t xml:space="preserve">) Kv2.1 blot following non reducing gel electrophoresis of mouse aIC samples. Top panel and bottom panel represent two separate experiments in which either QR2 inhibitor S29434 or vehicle were injected </w:t>
      </w:r>
      <w:proofErr w:type="spellStart"/>
      <w:r>
        <w:rPr>
          <w:lang w:val="en-US"/>
        </w:rPr>
        <w:t>i.p</w:t>
      </w:r>
      <w:proofErr w:type="spellEnd"/>
      <w:r>
        <w:rPr>
          <w:lang w:val="en-US"/>
        </w:rPr>
        <w:t xml:space="preserve">. </w:t>
      </w:r>
      <w:r>
        <w:rPr>
          <w:b/>
          <w:bCs/>
          <w:lang w:val="en-US"/>
        </w:rPr>
        <w:t>c</w:t>
      </w:r>
      <w:r>
        <w:rPr>
          <w:lang w:val="en-US"/>
        </w:rPr>
        <w:t xml:space="preserve">) Kv2.1 oligomerization due to aIC redox state, as seen in </w:t>
      </w:r>
      <w:r>
        <w:rPr>
          <w:b/>
          <w:bCs/>
          <w:lang w:val="en-US"/>
        </w:rPr>
        <w:t>a</w:t>
      </w:r>
      <w:r>
        <w:rPr>
          <w:lang w:val="en-US"/>
        </w:rPr>
        <w:t xml:space="preserve">) upper panel, is abolished in the blot following the addition of </w:t>
      </w:r>
      <w:r>
        <w:rPr>
          <w:rFonts w:cstheme="minorHAnsi"/>
          <w:lang w:val="en-US"/>
        </w:rPr>
        <w:t>β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mercaptoethanol</w:t>
      </w:r>
      <w:proofErr w:type="spellEnd"/>
      <w:r>
        <w:rPr>
          <w:lang w:val="en-US"/>
        </w:rPr>
        <w:t xml:space="preserve">. </w:t>
      </w:r>
      <w:r>
        <w:rPr>
          <w:b/>
          <w:bCs/>
          <w:lang w:val="en-US"/>
        </w:rPr>
        <w:t>d</w:t>
      </w:r>
      <w:r>
        <w:rPr>
          <w:lang w:val="en-US"/>
        </w:rPr>
        <w:t xml:space="preserve">) Kv2.1 oligomerization due to aIC redox state, as seen in </w:t>
      </w:r>
      <w:r>
        <w:rPr>
          <w:b/>
          <w:bCs/>
          <w:lang w:val="en-US"/>
        </w:rPr>
        <w:t>b</w:t>
      </w:r>
      <w:r>
        <w:rPr>
          <w:lang w:val="en-US"/>
        </w:rPr>
        <w:t xml:space="preserve">) upper panel, is abolished in the blot following the addition of </w:t>
      </w:r>
      <w:r>
        <w:rPr>
          <w:rFonts w:cstheme="minorHAnsi"/>
          <w:lang w:val="en-US"/>
        </w:rPr>
        <w:t>β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mercaptoethanol</w:t>
      </w:r>
      <w:proofErr w:type="spellEnd"/>
      <w:r>
        <w:rPr>
          <w:lang w:val="en-US"/>
        </w:rPr>
        <w:t>.</w:t>
      </w:r>
      <w:r>
        <w:rPr>
          <w:lang w:val="en-US"/>
        </w:rPr>
        <w:br w:type="page"/>
      </w:r>
    </w:p>
    <w:p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b/>
          <w:bCs/>
        </w:rPr>
      </w:pPr>
      <w:r>
        <w:rPr>
          <w:b/>
          <w:bCs/>
        </w:rPr>
        <w:lastRenderedPageBreak/>
        <w:t>Table 1-1. Detailed Statistical Analysis.</w:t>
      </w:r>
    </w:p>
    <w:tbl>
      <w:tblPr>
        <w:tblStyle w:val="TableGrid"/>
        <w:tblW w:w="9492" w:type="dxa"/>
        <w:tblLook w:val="04A0" w:firstRow="1" w:lastRow="0" w:firstColumn="1" w:lastColumn="0" w:noHBand="0" w:noVBand="1"/>
      </w:tblPr>
      <w:tblGrid>
        <w:gridCol w:w="988"/>
        <w:gridCol w:w="4110"/>
        <w:gridCol w:w="4394"/>
      </w:tblGrid>
      <w:tr>
        <w:tc>
          <w:tcPr>
            <w:tcW w:w="988" w:type="dxa"/>
            <w:shd w:val="clear" w:color="auto" w:fill="DDD9C3" w:themeFill="background2" w:themeFillShade="E6"/>
          </w:tcPr>
          <w:p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Figure </w:t>
            </w:r>
          </w:p>
        </w:tc>
        <w:tc>
          <w:tcPr>
            <w:tcW w:w="4110" w:type="dxa"/>
            <w:shd w:val="clear" w:color="auto" w:fill="DDD9C3" w:themeFill="background2" w:themeFillShade="E6"/>
          </w:tcPr>
          <w:p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Statistical analysis</w:t>
            </w:r>
          </w:p>
        </w:tc>
        <w:tc>
          <w:tcPr>
            <w:tcW w:w="4394" w:type="dxa"/>
            <w:shd w:val="clear" w:color="auto" w:fill="DDD9C3" w:themeFill="background2" w:themeFillShade="E6"/>
          </w:tcPr>
          <w:p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Post hoc tests</w:t>
            </w:r>
          </w:p>
        </w:tc>
      </w:tr>
      <w:tr>
        <w:tc>
          <w:tcPr>
            <w:tcW w:w="988" w:type="dxa"/>
          </w:tcPr>
          <w:p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Fig. 1b</w:t>
            </w:r>
          </w:p>
        </w:tc>
        <w:tc>
          <w:tcPr>
            <w:tcW w:w="4110" w:type="dxa"/>
          </w:tcPr>
          <w:p>
            <w:pPr>
              <w:spacing w:line="480" w:lineRule="auto"/>
            </w:pPr>
            <w:r>
              <w:rPr>
                <w:rFonts w:hAnsi="Calibri"/>
                <w:color w:val="000000" w:themeColor="text1"/>
                <w:kern w:val="24"/>
              </w:rPr>
              <w:t xml:space="preserve">Familiar 3.21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</w:t>
            </w:r>
            <w:r>
              <w:rPr>
                <w:rFonts w:hAnsi="Calibri"/>
                <w:color w:val="000000" w:themeColor="text1"/>
                <w:kern w:val="24"/>
              </w:rPr>
              <w:t xml:space="preserve">0.113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n=5; Novel 3.996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0.135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n=4;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Student's t test</w:t>
            </w:r>
            <w:r>
              <w:rPr>
                <w:rFonts w:hAnsi="Calibri"/>
                <w:color w:val="000000" w:themeColor="text1"/>
                <w:kern w:val="24"/>
              </w:rPr>
              <w:t>, t=4.497, df=7, p=0.0028</w:t>
            </w:r>
          </w:p>
        </w:tc>
        <w:tc>
          <w:tcPr>
            <w:tcW w:w="4394" w:type="dxa"/>
          </w:tcPr>
          <w:p>
            <w:pPr>
              <w:spacing w:line="480" w:lineRule="auto"/>
            </w:pPr>
          </w:p>
        </w:tc>
      </w:tr>
      <w:tr>
        <w:tc>
          <w:tcPr>
            <w:tcW w:w="988" w:type="dxa"/>
          </w:tcPr>
          <w:p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Fig. 1c</w:t>
            </w:r>
          </w:p>
        </w:tc>
        <w:tc>
          <w:tcPr>
            <w:tcW w:w="4110" w:type="dxa"/>
          </w:tcPr>
          <w:p>
            <w:pPr>
              <w:spacing w:line="480" w:lineRule="auto"/>
            </w:pPr>
            <w:r>
              <w:rPr>
                <w:rFonts w:hAnsi="Calibri"/>
                <w:color w:val="000000" w:themeColor="text1"/>
                <w:kern w:val="24"/>
              </w:rPr>
              <w:t xml:space="preserve">Familiar 4.975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</w:t>
            </w:r>
            <w:r>
              <w:rPr>
                <w:rFonts w:hAnsi="Calibri"/>
                <w:color w:val="000000" w:themeColor="text1"/>
                <w:kern w:val="24"/>
              </w:rPr>
              <w:t xml:space="preserve">0.041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n=7; Novel 5.261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</w:t>
            </w:r>
            <w:r>
              <w:rPr>
                <w:rFonts w:hAnsi="Calibri"/>
                <w:color w:val="000000" w:themeColor="text1"/>
                <w:kern w:val="24"/>
              </w:rPr>
              <w:t xml:space="preserve">0.095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n=7;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Student's t test</w:t>
            </w:r>
            <w:r>
              <w:rPr>
                <w:rFonts w:hAnsi="Calibri"/>
                <w:color w:val="000000" w:themeColor="text1"/>
                <w:kern w:val="24"/>
              </w:rPr>
              <w:t>, t=2.751 df=12, p=0.0176</w:t>
            </w:r>
          </w:p>
        </w:tc>
        <w:tc>
          <w:tcPr>
            <w:tcW w:w="4394" w:type="dxa"/>
          </w:tcPr>
          <w:p>
            <w:pPr>
              <w:spacing w:line="480" w:lineRule="auto"/>
            </w:pPr>
          </w:p>
        </w:tc>
      </w:tr>
      <w:tr>
        <w:tc>
          <w:tcPr>
            <w:tcW w:w="988" w:type="dxa"/>
          </w:tcPr>
          <w:p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Fig. 1e</w:t>
            </w:r>
          </w:p>
        </w:tc>
        <w:tc>
          <w:tcPr>
            <w:tcW w:w="4110" w:type="dxa"/>
          </w:tcPr>
          <w:p>
            <w:pPr>
              <w:spacing w:line="480" w:lineRule="auto"/>
            </w:pPr>
            <w:r>
              <w:rPr>
                <w:rFonts w:hAnsi="Calibri"/>
                <w:color w:val="000000" w:themeColor="text1"/>
                <w:kern w:val="24"/>
              </w:rPr>
              <w:t xml:space="preserve">Scrambled 39.22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7.538 %, n=4; shRNA to QR2 84.57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2.381 %, n=5, </w:t>
            </w:r>
            <w:r>
              <w:rPr>
                <w:rFonts w:hAnsi="+mn-ea"/>
                <w:b/>
                <w:bCs/>
                <w:color w:val="000000" w:themeColor="text1"/>
                <w:kern w:val="24"/>
              </w:rPr>
              <w:t>Student</w:t>
            </w:r>
            <w:r>
              <w:rPr>
                <w:rFonts w:hAnsi="+mn-ea"/>
                <w:b/>
                <w:bCs/>
                <w:color w:val="000000" w:themeColor="text1"/>
                <w:kern w:val="24"/>
              </w:rPr>
              <w:t>’</w:t>
            </w:r>
            <w:r>
              <w:rPr>
                <w:rFonts w:hAnsi="+mn-ea"/>
                <w:b/>
                <w:bCs/>
                <w:color w:val="000000" w:themeColor="text1"/>
                <w:kern w:val="24"/>
              </w:rPr>
              <w:t>s t test</w:t>
            </w:r>
            <w:r>
              <w:rPr>
                <w:rFonts w:hAnsi="+mn-ea"/>
                <w:color w:val="000000" w:themeColor="text1"/>
                <w:kern w:val="24"/>
              </w:rPr>
              <w:t>, t=6.342 df=7, p=0.0004</w:t>
            </w:r>
          </w:p>
        </w:tc>
        <w:tc>
          <w:tcPr>
            <w:tcW w:w="4394" w:type="dxa"/>
          </w:tcPr>
          <w:p>
            <w:pPr>
              <w:spacing w:line="480" w:lineRule="auto"/>
            </w:pPr>
          </w:p>
        </w:tc>
      </w:tr>
      <w:tr>
        <w:tc>
          <w:tcPr>
            <w:tcW w:w="988" w:type="dxa"/>
          </w:tcPr>
          <w:p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Fig. 1 f</w:t>
            </w:r>
          </w:p>
        </w:tc>
        <w:tc>
          <w:tcPr>
            <w:tcW w:w="4110" w:type="dxa"/>
          </w:tcPr>
          <w:p>
            <w:pPr>
              <w:spacing w:line="480" w:lineRule="auto"/>
            </w:pPr>
            <w:r>
              <w:rPr>
                <w:rFonts w:hAnsi="Calibri"/>
                <w:color w:val="000000" w:themeColor="text1"/>
                <w:kern w:val="24"/>
              </w:rPr>
              <w:t xml:space="preserve">Scrambled 4.513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</w:t>
            </w:r>
            <w:r>
              <w:rPr>
                <w:rFonts w:hAnsi="Calibri"/>
                <w:color w:val="000000" w:themeColor="text1"/>
                <w:kern w:val="24"/>
              </w:rPr>
              <w:t xml:space="preserve">0.048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n=4; shRNA QR2 4.784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0.063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n=5;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Student's t test</w:t>
            </w:r>
            <w:r>
              <w:rPr>
                <w:rFonts w:hAnsi="Calibri"/>
                <w:color w:val="000000" w:themeColor="text1"/>
                <w:kern w:val="24"/>
              </w:rPr>
              <w:t>, t=3.263, df=7, p=0.0138</w:t>
            </w:r>
          </w:p>
        </w:tc>
        <w:tc>
          <w:tcPr>
            <w:tcW w:w="4394" w:type="dxa"/>
          </w:tcPr>
          <w:p>
            <w:pPr>
              <w:spacing w:line="480" w:lineRule="auto"/>
            </w:pPr>
          </w:p>
        </w:tc>
      </w:tr>
      <w:tr>
        <w:tc>
          <w:tcPr>
            <w:tcW w:w="988" w:type="dxa"/>
          </w:tcPr>
          <w:p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Fig. 1i</w:t>
            </w:r>
          </w:p>
        </w:tc>
        <w:tc>
          <w:tcPr>
            <w:tcW w:w="4110" w:type="dxa"/>
          </w:tcPr>
          <w:p>
            <w:pPr>
              <w:spacing w:line="480" w:lineRule="auto"/>
            </w:pPr>
            <w:r>
              <w:rPr>
                <w:rFonts w:hAnsi="Calibri"/>
                <w:color w:val="000000" w:themeColor="text1"/>
                <w:kern w:val="24"/>
              </w:rPr>
              <w:t xml:space="preserve">Vehicle 59.96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7.296%, n=7; S29434 83.45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4.109%, n=7; S29434 Post </w:t>
            </w:r>
            <w:proofErr w:type="spellStart"/>
            <w:r>
              <w:rPr>
                <w:rFonts w:hAnsi="+mn-ea"/>
                <w:color w:val="000000" w:themeColor="text1"/>
                <w:kern w:val="24"/>
              </w:rPr>
              <w:t>Acq</w:t>
            </w:r>
            <w:proofErr w:type="spellEnd"/>
            <w:r>
              <w:rPr>
                <w:rFonts w:hAnsi="+mn-ea"/>
                <w:color w:val="000000" w:themeColor="text1"/>
                <w:kern w:val="24"/>
              </w:rPr>
              <w:t xml:space="preserve">. 78.45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2.813%, n=7;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one way ANOVA</w:t>
            </w:r>
            <w:r>
              <w:rPr>
                <w:rFonts w:hAnsi="Calibri"/>
                <w:color w:val="000000" w:themeColor="text1"/>
                <w:kern w:val="24"/>
              </w:rPr>
              <w:t>, F 1 (2, 18) = 5.886, p=0.0108</w:t>
            </w:r>
          </w:p>
        </w:tc>
        <w:tc>
          <w:tcPr>
            <w:tcW w:w="4394" w:type="dxa"/>
          </w:tcPr>
          <w:p>
            <w:pPr>
              <w:spacing w:line="480" w:lineRule="auto"/>
            </w:pPr>
            <w:r>
              <w:rPr>
                <w:rFonts w:hAnsi="Calibri"/>
                <w:b/>
                <w:bCs/>
                <w:color w:val="000000" w:themeColor="text1"/>
                <w:kern w:val="24"/>
              </w:rPr>
              <w:t>Tukey’s multiple comparison test</w:t>
            </w:r>
            <w:r>
              <w:rPr>
                <w:rFonts w:hAnsi="Calibri"/>
                <w:color w:val="000000" w:themeColor="text1"/>
                <w:kern w:val="24"/>
              </w:rPr>
              <w:t xml:space="preserve">, Vehicle vs. S29434 p=0.0116, Vehicle vs. S29434 Post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Acq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>. P=0.0489</w:t>
            </w:r>
          </w:p>
        </w:tc>
      </w:tr>
      <w:tr>
        <w:tc>
          <w:tcPr>
            <w:tcW w:w="988" w:type="dxa"/>
          </w:tcPr>
          <w:p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Fig. 1k</w:t>
            </w:r>
          </w:p>
        </w:tc>
        <w:tc>
          <w:tcPr>
            <w:tcW w:w="4110" w:type="dxa"/>
          </w:tcPr>
          <w:p>
            <w:pPr>
              <w:spacing w:line="480" w:lineRule="auto"/>
            </w:pPr>
            <w:r>
              <w:rPr>
                <w:rFonts w:hAnsi="Calibri"/>
                <w:color w:val="000000" w:themeColor="text1"/>
                <w:kern w:val="24"/>
              </w:rPr>
              <w:t xml:space="preserve">Vehicle/Vehicle 62.67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</w:t>
            </w:r>
            <w:r>
              <w:rPr>
                <w:rFonts w:hAnsi="Calibri"/>
                <w:color w:val="000000" w:themeColor="text1"/>
                <w:kern w:val="24"/>
              </w:rPr>
              <w:t xml:space="preserve">5.749%, n=11; Scopolamine/Vehicle 37.35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</w:t>
            </w:r>
            <w:r>
              <w:rPr>
                <w:rFonts w:hAnsi="Calibri"/>
                <w:color w:val="000000" w:themeColor="text1"/>
                <w:kern w:val="24"/>
              </w:rPr>
              <w:t xml:space="preserve">6.476%, n=10; Scopolamine/S29434 65.49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</w:t>
            </w:r>
            <w:r>
              <w:rPr>
                <w:rFonts w:hAnsi="Calibri"/>
                <w:color w:val="000000" w:themeColor="text1"/>
                <w:kern w:val="24"/>
              </w:rPr>
              <w:t xml:space="preserve">6.029%, n=10;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Kruskal-Wallis</w:t>
            </w:r>
            <w:r>
              <w:rPr>
                <w:rFonts w:hAnsi="Calibri"/>
                <w:color w:val="000000" w:themeColor="text1"/>
                <w:kern w:val="24"/>
              </w:rPr>
              <w:t>, p=0.0139</w:t>
            </w:r>
          </w:p>
        </w:tc>
        <w:tc>
          <w:tcPr>
            <w:tcW w:w="4394" w:type="dxa"/>
          </w:tcPr>
          <w:p>
            <w:pPr>
              <w:spacing w:line="480" w:lineRule="auto"/>
            </w:pPr>
            <w:r>
              <w:rPr>
                <w:rFonts w:hAnsi="Calibri"/>
                <w:b/>
                <w:bCs/>
                <w:color w:val="000000" w:themeColor="text1"/>
                <w:kern w:val="24"/>
              </w:rPr>
              <w:t>Dunn’s multiple comparison</w:t>
            </w:r>
            <w:r>
              <w:rPr>
                <w:rFonts w:hAnsi="Calibri"/>
                <w:color w:val="000000" w:themeColor="text1"/>
                <w:kern w:val="24"/>
              </w:rPr>
              <w:t>, Vehicle/Vehicle vs. Scopolamine/Vehicle  p=0.0406, Vehicle/Vehicle vs. Scopolamine/S29434 p&gt;0.999, Scopolamine/Vehicle vs Scopolamine/S29434 p=0.0274</w:t>
            </w:r>
          </w:p>
        </w:tc>
      </w:tr>
    </w:tbl>
    <w:p>
      <w:r>
        <w:br w:type="page"/>
      </w:r>
    </w:p>
    <w:tbl>
      <w:tblPr>
        <w:tblStyle w:val="TableGrid"/>
        <w:tblW w:w="9492" w:type="dxa"/>
        <w:tblLook w:val="04A0" w:firstRow="1" w:lastRow="0" w:firstColumn="1" w:lastColumn="0" w:noHBand="0" w:noVBand="1"/>
      </w:tblPr>
      <w:tblGrid>
        <w:gridCol w:w="1413"/>
        <w:gridCol w:w="3969"/>
        <w:gridCol w:w="4110"/>
      </w:tblGrid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Fig. 2b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Calibri"/>
                <w:color w:val="000000" w:themeColor="text1"/>
                <w:kern w:val="24"/>
              </w:rPr>
              <w:t xml:space="preserve">Vehicle – Novel 6.005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0.259</w:t>
            </w:r>
            <w:r>
              <w:rPr>
                <w:rFonts w:hAnsi="Calibri"/>
                <w:color w:val="000000" w:themeColor="text1"/>
                <w:kern w:val="24"/>
              </w:rPr>
              <w:t xml:space="preserve">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n=6; Vehicle – Familiar 5.558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0.137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n=4;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Bicuculline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 – Novel 6.082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0.057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n=5;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Bicuculline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 – Familiar 6.125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0.267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n=6;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Muscimol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 – Novel 5.848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0.289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n=5;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Muscimol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 – Familiar 5.837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0.163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n=5;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Two way ANOVA</w:t>
            </w:r>
            <w:r>
              <w:rPr>
                <w:rFonts w:hAnsi="Calibri"/>
                <w:color w:val="000000" w:themeColor="text1"/>
                <w:kern w:val="24"/>
              </w:rPr>
              <w:t>, Treatment F=6.343 p=0.006, Taste F=3.026 p=0.094, Interaction F=3.718 p=0.039.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+mn-ea"/>
                <w:color w:val="000000" w:themeColor="text1"/>
                <w:kern w:val="24"/>
              </w:rPr>
            </w:pPr>
            <w:r>
              <w:rPr>
                <w:rFonts w:hAnsi="+mn-ea"/>
                <w:b/>
                <w:bCs/>
                <w:color w:val="000000" w:themeColor="text1"/>
                <w:kern w:val="24"/>
              </w:rPr>
              <w:t>Tukey</w:t>
            </w:r>
            <w:r>
              <w:rPr>
                <w:rFonts w:hAnsi="+mn-ea"/>
                <w:b/>
                <w:bCs/>
                <w:color w:val="000000" w:themeColor="text1"/>
                <w:kern w:val="24"/>
              </w:rPr>
              <w:t>’</w:t>
            </w:r>
            <w:r>
              <w:rPr>
                <w:rFonts w:hAnsi="+mn-ea"/>
                <w:b/>
                <w:bCs/>
                <w:color w:val="000000" w:themeColor="text1"/>
                <w:kern w:val="24"/>
              </w:rPr>
              <w:t>s multiple comparison test for treatment</w:t>
            </w:r>
            <w:r>
              <w:rPr>
                <w:rFonts w:hAnsi="+mn-ea"/>
                <w:color w:val="000000" w:themeColor="text1"/>
                <w:kern w:val="24"/>
              </w:rPr>
              <w:t>, Vehicle vs. Bicuculline p=0.02, Vehicle vs. Muscimol p=0.985, Bicuculline vs Muscimol p=0.029.</w:t>
            </w:r>
          </w:p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  <w:r>
              <w:rPr>
                <w:rFonts w:hAnsi="+mn-ea"/>
                <w:b/>
                <w:bCs/>
                <w:color w:val="000000" w:themeColor="text1"/>
                <w:kern w:val="24"/>
              </w:rPr>
              <w:t>ANOVA test of between subject effects</w:t>
            </w:r>
            <w:r>
              <w:rPr>
                <w:rFonts w:hAnsi="+mn-ea"/>
                <w:color w:val="000000" w:themeColor="text1"/>
                <w:kern w:val="24"/>
              </w:rPr>
              <w:t xml:space="preserve">, Vehicle </w:t>
            </w:r>
            <w:r>
              <w:rPr>
                <w:rFonts w:hAnsi="+mn-ea"/>
                <w:color w:val="000000" w:themeColor="text1"/>
                <w:kern w:val="24"/>
              </w:rPr>
              <w:t>–</w:t>
            </w:r>
            <w:r>
              <w:rPr>
                <w:rFonts w:hAnsi="+mn-ea"/>
                <w:color w:val="000000" w:themeColor="text1"/>
                <w:kern w:val="24"/>
              </w:rPr>
              <w:t xml:space="preserve"> Familiar vs. Vehicle </w:t>
            </w:r>
            <w:r>
              <w:rPr>
                <w:rFonts w:hAnsi="+mn-ea"/>
                <w:color w:val="000000" w:themeColor="text1"/>
                <w:kern w:val="24"/>
              </w:rPr>
              <w:t>–</w:t>
            </w:r>
            <w:r>
              <w:rPr>
                <w:rFonts w:hAnsi="+mn-ea"/>
                <w:color w:val="000000" w:themeColor="text1"/>
                <w:kern w:val="24"/>
              </w:rPr>
              <w:t xml:space="preserve"> Novel p=0.014, Bicuculline </w:t>
            </w:r>
            <w:r>
              <w:rPr>
                <w:rFonts w:hAnsi="+mn-ea"/>
                <w:color w:val="000000" w:themeColor="text1"/>
                <w:kern w:val="24"/>
              </w:rPr>
              <w:t>–</w:t>
            </w:r>
            <w:r>
              <w:rPr>
                <w:rFonts w:hAnsi="+mn-ea"/>
                <w:color w:val="000000" w:themeColor="text1"/>
                <w:kern w:val="24"/>
              </w:rPr>
              <w:t xml:space="preserve"> Familiar vs. Bicuculline </w:t>
            </w:r>
            <w:r>
              <w:rPr>
                <w:rFonts w:hAnsi="+mn-ea"/>
                <w:color w:val="000000" w:themeColor="text1"/>
                <w:kern w:val="24"/>
              </w:rPr>
              <w:t>–</w:t>
            </w:r>
            <w:r>
              <w:rPr>
                <w:rFonts w:hAnsi="+mn-ea"/>
                <w:color w:val="000000" w:themeColor="text1"/>
                <w:kern w:val="24"/>
              </w:rPr>
              <w:t xml:space="preserve"> Novel p=0.735, Muscimol </w:t>
            </w:r>
            <w:r>
              <w:rPr>
                <w:rFonts w:hAnsi="+mn-ea"/>
                <w:color w:val="000000" w:themeColor="text1"/>
                <w:kern w:val="24"/>
              </w:rPr>
              <w:t>–</w:t>
            </w:r>
            <w:r>
              <w:rPr>
                <w:rFonts w:hAnsi="+mn-ea"/>
                <w:color w:val="000000" w:themeColor="text1"/>
                <w:kern w:val="24"/>
              </w:rPr>
              <w:t xml:space="preserve"> Familiar vs. Muscimol - Novel p=0.942.  </w:t>
            </w: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Fig. 2e</w:t>
            </w:r>
          </w:p>
        </w:tc>
        <w:tc>
          <w:tcPr>
            <w:tcW w:w="3969" w:type="dxa"/>
          </w:tcPr>
          <w:p>
            <w:pPr>
              <w:spacing w:line="480" w:lineRule="auto"/>
            </w:pPr>
            <w:r>
              <w:rPr>
                <w:rFonts w:hAnsi="Calibri"/>
                <w:color w:val="000000" w:themeColor="text1"/>
                <w:kern w:val="24"/>
              </w:rPr>
              <w:t xml:space="preserve">Scopolamine/Bicuculline 7.372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</w:t>
            </w:r>
            <w:r>
              <w:rPr>
                <w:rFonts w:hAnsi="Calibri"/>
                <w:color w:val="000000" w:themeColor="text1"/>
                <w:kern w:val="24"/>
              </w:rPr>
              <w:t xml:space="preserve">0.056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>, n=8; Vehicle/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Bicuculline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 7.746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0.119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n=6;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Student's t test</w:t>
            </w:r>
            <w:r>
              <w:rPr>
                <w:rFonts w:hAnsi="Calibri"/>
                <w:color w:val="000000" w:themeColor="text1"/>
                <w:kern w:val="24"/>
              </w:rPr>
              <w:t>, t=3.087 df=12, p=0.0094</w:t>
            </w:r>
          </w:p>
        </w:tc>
        <w:tc>
          <w:tcPr>
            <w:tcW w:w="4110" w:type="dxa"/>
          </w:tcPr>
          <w:p>
            <w:pPr>
              <w:spacing w:line="480" w:lineRule="auto"/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Fig. 2g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Calibri"/>
                <w:color w:val="000000" w:themeColor="text1"/>
                <w:kern w:val="24"/>
              </w:rPr>
              <w:t xml:space="preserve">Vehicle 73.28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</w:t>
            </w:r>
            <w:r>
              <w:rPr>
                <w:rFonts w:hAnsi="Calibri"/>
                <w:color w:val="000000" w:themeColor="text1"/>
                <w:kern w:val="24"/>
              </w:rPr>
              <w:t xml:space="preserve">4.962%, n=8; Bicuculline 87.95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2.849%</w:t>
            </w:r>
            <w:r>
              <w:rPr>
                <w:rFonts w:hAnsi="Calibri"/>
                <w:color w:val="000000" w:themeColor="text1"/>
                <w:kern w:val="24"/>
              </w:rPr>
              <w:t xml:space="preserve">, n=8;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Student's t test</w:t>
            </w:r>
            <w:r>
              <w:rPr>
                <w:rFonts w:hAnsi="Calibri"/>
                <w:color w:val="000000" w:themeColor="text1"/>
                <w:kern w:val="24"/>
              </w:rPr>
              <w:t>, t=2.564 df=14, p=0.0225</w:t>
            </w:r>
          </w:p>
        </w:tc>
        <w:tc>
          <w:tcPr>
            <w:tcW w:w="4110" w:type="dxa"/>
          </w:tcPr>
          <w:p>
            <w:pPr>
              <w:spacing w:line="480" w:lineRule="auto"/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Fig. 3a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Calibri"/>
                <w:color w:val="000000" w:themeColor="text1"/>
                <w:kern w:val="24"/>
              </w:rPr>
              <w:t xml:space="preserve">Familiar 7.377 ± 0.067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n=6; Novel 7.605 ± 0.122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n=6;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Student's t test</w:t>
            </w:r>
            <w:r>
              <w:rPr>
                <w:rFonts w:hAnsi="Calibri"/>
                <w:color w:val="000000" w:themeColor="text1"/>
                <w:kern w:val="24"/>
              </w:rPr>
              <w:t>, t=1.637 df=10, p=0.1326</w:t>
            </w:r>
          </w:p>
        </w:tc>
        <w:tc>
          <w:tcPr>
            <w:tcW w:w="4110" w:type="dxa"/>
          </w:tcPr>
          <w:p>
            <w:pPr>
              <w:spacing w:line="480" w:lineRule="auto"/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Fig. 3b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Calibri"/>
                <w:color w:val="000000" w:themeColor="text1"/>
                <w:kern w:val="24"/>
              </w:rPr>
              <w:t xml:space="preserve">Familiar 1 h 12.49 ± 0.248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n=8; Novel 1 h 11.2 ± 0.355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n=8;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Mann-Whitney test</w:t>
            </w:r>
            <w:r>
              <w:rPr>
                <w:rFonts w:hAnsi="Calibri"/>
                <w:color w:val="000000" w:themeColor="text1"/>
                <w:kern w:val="24"/>
              </w:rPr>
              <w:t>, p=0.007</w:t>
            </w:r>
          </w:p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Calibri"/>
                <w:color w:val="000000" w:themeColor="text1"/>
                <w:kern w:val="24"/>
              </w:rPr>
              <w:t xml:space="preserve">Familiar 3 h 13.08 ± 0.446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n=7; Novel 3 h 12.68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</w:t>
            </w:r>
            <w:r>
              <w:rPr>
                <w:rFonts w:hAnsi="Calibri"/>
                <w:color w:val="000000" w:themeColor="text1"/>
                <w:kern w:val="24"/>
              </w:rPr>
              <w:t xml:space="preserve">0.548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n=7;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Student's t test</w:t>
            </w:r>
            <w:r>
              <w:rPr>
                <w:rFonts w:hAnsi="Calibri"/>
                <w:color w:val="000000" w:themeColor="text1"/>
                <w:kern w:val="24"/>
              </w:rPr>
              <w:t>, t=0.5573 df=12, p=0.5876</w:t>
            </w:r>
          </w:p>
        </w:tc>
        <w:tc>
          <w:tcPr>
            <w:tcW w:w="4110" w:type="dxa"/>
          </w:tcPr>
          <w:p>
            <w:pPr>
              <w:spacing w:line="480" w:lineRule="auto"/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Fig. 3d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Calibri"/>
                <w:color w:val="000000" w:themeColor="text1"/>
                <w:kern w:val="24"/>
              </w:rPr>
              <w:t xml:space="preserve">Vehicle/Vehicle 17.06 ± 0.224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>, n=6; Vehicle/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Bicuculline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 15.86 ± 0.254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>, n=6; Scopolamine/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Bicuculline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 16.63 ± 0.296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n=6; </w:t>
            </w:r>
            <w:proofErr w:type="spellStart"/>
            <w:r>
              <w:rPr>
                <w:rFonts w:hAnsi="Calibri"/>
                <w:b/>
                <w:bCs/>
                <w:color w:val="000000" w:themeColor="text1"/>
                <w:kern w:val="24"/>
              </w:rPr>
              <w:t>Kruskal</w:t>
            </w:r>
            <w:proofErr w:type="spellEnd"/>
            <w:r>
              <w:rPr>
                <w:rFonts w:hAnsi="Calibri"/>
                <w:b/>
                <w:bCs/>
                <w:color w:val="000000" w:themeColor="text1"/>
                <w:kern w:val="24"/>
              </w:rPr>
              <w:t>-Wallis test</w:t>
            </w:r>
            <w:r>
              <w:rPr>
                <w:rFonts w:hAnsi="Calibri"/>
                <w:color w:val="000000" w:themeColor="text1"/>
                <w:kern w:val="24"/>
              </w:rPr>
              <w:t>, p=0.0147</w:t>
            </w:r>
          </w:p>
        </w:tc>
        <w:tc>
          <w:tcPr>
            <w:tcW w:w="4110" w:type="dxa"/>
          </w:tcPr>
          <w:p>
            <w:pPr>
              <w:spacing w:line="480" w:lineRule="auto"/>
            </w:pPr>
            <w:r>
              <w:rPr>
                <w:rFonts w:hAnsi="Calibri"/>
                <w:b/>
                <w:bCs/>
                <w:color w:val="000000" w:themeColor="text1"/>
                <w:kern w:val="24"/>
              </w:rPr>
              <w:t>Dunn’s multiple comparison test</w:t>
            </w:r>
            <w:r>
              <w:rPr>
                <w:rFonts w:hAnsi="Calibri"/>
                <w:color w:val="000000" w:themeColor="text1"/>
                <w:kern w:val="24"/>
              </w:rPr>
              <w:t>, Vehicle/Vehicle vs. Vehicle/Bicuculline p=0.0206, Vehicle/Vehicle vs. Scopolamine/Bicuculline p&gt;0.999, Vehicle/Bicuculline vs. Scopolamine/Bicuculline p=0.198</w:t>
            </w: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Fig. 3f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Calibri"/>
                <w:color w:val="000000" w:themeColor="text1"/>
                <w:kern w:val="24"/>
              </w:rPr>
              <w:t xml:space="preserve">Vehicle/Vehicle 17.45 ± 0.217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>, n=5; Vehicle/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Eserine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 15.99 ± 0.2662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n=5;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Student's t test</w:t>
            </w:r>
            <w:r>
              <w:rPr>
                <w:rFonts w:hAnsi="Calibri"/>
                <w:color w:val="000000" w:themeColor="text1"/>
                <w:kern w:val="24"/>
              </w:rPr>
              <w:t>, t=4.241 df=8, p=0.0028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Fig. 4b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Calibri"/>
                <w:color w:val="000000" w:themeColor="text1"/>
                <w:kern w:val="24"/>
              </w:rPr>
              <w:t xml:space="preserve">GFP 10.79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0.162</w:t>
            </w:r>
            <w:r>
              <w:rPr>
                <w:rFonts w:hAnsi="Calibri"/>
                <w:color w:val="000000" w:themeColor="text1"/>
                <w:kern w:val="24"/>
              </w:rPr>
              <w:t xml:space="preserve">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n=6; miR-182 5.396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1.522</w:t>
            </w:r>
            <w:r>
              <w:rPr>
                <w:rFonts w:hAnsi="Calibri"/>
                <w:color w:val="000000" w:themeColor="text1"/>
                <w:kern w:val="24"/>
              </w:rPr>
              <w:t xml:space="preserve">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n=4;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Mann-Whitney test</w:t>
            </w:r>
            <w:r>
              <w:rPr>
                <w:rFonts w:hAnsi="Calibri"/>
                <w:color w:val="000000" w:themeColor="text1"/>
                <w:kern w:val="24"/>
              </w:rPr>
              <w:t>, p=0.0095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Fig. 4c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Calibri"/>
                <w:color w:val="000000" w:themeColor="text1"/>
                <w:kern w:val="24"/>
              </w:rPr>
              <w:t xml:space="preserve">GFP 6.576 ± 0.02059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n=6; miR-182 6.864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</w:t>
            </w:r>
            <w:r>
              <w:rPr>
                <w:rFonts w:hAnsi="Calibri"/>
                <w:color w:val="000000" w:themeColor="text1"/>
                <w:kern w:val="24"/>
              </w:rPr>
              <w:t xml:space="preserve">0.03825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n=4;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Student's t test</w:t>
            </w:r>
            <w:r>
              <w:rPr>
                <w:rFonts w:hAnsi="Calibri"/>
                <w:color w:val="000000" w:themeColor="text1"/>
                <w:kern w:val="24"/>
              </w:rPr>
              <w:t>, t=7.239 df=8, p&lt;0.0001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Fig. 4e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proofErr w:type="spellStart"/>
            <w:r>
              <w:rPr>
                <w:rFonts w:hAnsi="Calibri"/>
                <w:color w:val="000000" w:themeColor="text1"/>
                <w:kern w:val="24"/>
              </w:rPr>
              <w:t>Lenti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-GFP 27.17 ± 2.913 %, n=5; Lenti-miR-182 60.63 ± 6.026 %, n=5;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Student's t test</w:t>
            </w:r>
            <w:r>
              <w:rPr>
                <w:rFonts w:hAnsi="Calibri"/>
                <w:color w:val="000000" w:themeColor="text1"/>
                <w:kern w:val="24"/>
              </w:rPr>
              <w:t>, t=5 df=8, p=0.0011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Fig. 4f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proofErr w:type="spellStart"/>
            <w:r>
              <w:rPr>
                <w:rFonts w:hAnsi="Calibri"/>
                <w:color w:val="000000" w:themeColor="text1"/>
                <w:kern w:val="24"/>
              </w:rPr>
              <w:t>Lenti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-GFP 10.92 ± 0.436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n=5; Lenti-miR-182 8.441 ± 0.341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n=4;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Student's t test</w:t>
            </w:r>
            <w:r>
              <w:rPr>
                <w:rFonts w:hAnsi="Calibri"/>
                <w:color w:val="000000" w:themeColor="text1"/>
                <w:kern w:val="24"/>
              </w:rPr>
              <w:t>, t=4.277 df=7, p=0.0037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Fig. 4g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proofErr w:type="spellStart"/>
            <w:r>
              <w:rPr>
                <w:rFonts w:hAnsi="Calibri"/>
                <w:color w:val="000000" w:themeColor="text1"/>
                <w:kern w:val="24"/>
              </w:rPr>
              <w:t>Lenti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-GFP 9.145 ± 0.068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n=5; Lenti-miR-182 9.4 ± 0.075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n=4;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Student's t test</w:t>
            </w:r>
            <w:r>
              <w:rPr>
                <w:rFonts w:hAnsi="Calibri"/>
                <w:color w:val="000000" w:themeColor="text1"/>
                <w:kern w:val="24"/>
              </w:rPr>
              <w:t>, t=2.509 df=7, p=0.0405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Fig. 5a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+mn-ea"/>
                <w:color w:val="000000" w:themeColor="text1"/>
                <w:kern w:val="24"/>
              </w:rPr>
              <w:t xml:space="preserve">QR2 10,643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529.4 AU, n=3; QR2/S29434 569.7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13.97 AU, n=3; </w:t>
            </w:r>
            <w:r>
              <w:rPr>
                <w:rFonts w:hAnsi="+mn-ea"/>
                <w:b/>
                <w:bCs/>
                <w:color w:val="000000" w:themeColor="text1"/>
                <w:kern w:val="24"/>
              </w:rPr>
              <w:t>Student's t test</w:t>
            </w:r>
            <w:r>
              <w:rPr>
                <w:rFonts w:hAnsi="+mn-ea"/>
                <w:color w:val="000000" w:themeColor="text1"/>
                <w:kern w:val="24"/>
              </w:rPr>
              <w:t>, t=19.02 df=4, p&lt;0.0001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Fig. 5b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Calibri"/>
                <w:color w:val="000000" w:themeColor="text1"/>
                <w:kern w:val="24"/>
              </w:rPr>
              <w:t xml:space="preserve">NQO1 11,343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376.7 AU, n=3; NQO1/S29434 11,997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71.39 AU, n=3; NQO1/Dicoumarol 1,409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124.9 AU, n=3; </w:t>
            </w:r>
            <w:r>
              <w:rPr>
                <w:rFonts w:hAnsi="+mn-ea"/>
                <w:b/>
                <w:bCs/>
                <w:color w:val="000000" w:themeColor="text1"/>
                <w:kern w:val="24"/>
              </w:rPr>
              <w:t>one way ANOVA</w:t>
            </w:r>
            <w:r>
              <w:rPr>
                <w:rFonts w:hAnsi="+mn-ea"/>
                <w:color w:val="000000" w:themeColor="text1"/>
                <w:kern w:val="24"/>
              </w:rPr>
              <w:t>, F (2, 6) = 619.4, p&lt;0.0001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  <w:r>
              <w:rPr>
                <w:rFonts w:hAnsi="+mn-ea"/>
                <w:b/>
                <w:bCs/>
                <w:color w:val="000000" w:themeColor="text1"/>
                <w:kern w:val="24"/>
              </w:rPr>
              <w:t>Tukey</w:t>
            </w:r>
            <w:r>
              <w:rPr>
                <w:rFonts w:hAnsi="+mn-ea"/>
                <w:b/>
                <w:bCs/>
                <w:color w:val="000000" w:themeColor="text1"/>
                <w:kern w:val="24"/>
              </w:rPr>
              <w:t>’</w:t>
            </w:r>
            <w:r>
              <w:rPr>
                <w:rFonts w:hAnsi="+mn-ea"/>
                <w:b/>
                <w:bCs/>
                <w:color w:val="000000" w:themeColor="text1"/>
                <w:kern w:val="24"/>
              </w:rPr>
              <w:t>s multiple comparison test</w:t>
            </w:r>
            <w:r>
              <w:rPr>
                <w:rFonts w:hAnsi="+mn-ea"/>
                <w:color w:val="000000" w:themeColor="text1"/>
                <w:kern w:val="24"/>
              </w:rPr>
              <w:t>, NQO1 vs. NQO1/S29434 p=0.1958, NQO1 vs. NQO1/Dicoumarol p&lt;0.0001, NQO1/S29434 vs. NQO1/Dicoumarol p&lt;0.0001</w:t>
            </w: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Fig. 5c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Calibri"/>
                <w:color w:val="000000" w:themeColor="text1"/>
                <w:kern w:val="24"/>
              </w:rPr>
              <w:t xml:space="preserve">Brain Lysate 4,834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271.6 AU, n=3; Brain Lysate/S29434 2,967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91.83 AU, n=3; </w:t>
            </w:r>
            <w:r>
              <w:rPr>
                <w:rFonts w:hAnsi="+mn-ea"/>
                <w:b/>
                <w:bCs/>
                <w:color w:val="000000" w:themeColor="text1"/>
                <w:kern w:val="24"/>
              </w:rPr>
              <w:t>Student's t test</w:t>
            </w:r>
            <w:r>
              <w:rPr>
                <w:rFonts w:hAnsi="+mn-ea"/>
                <w:color w:val="000000" w:themeColor="text1"/>
                <w:kern w:val="24"/>
              </w:rPr>
              <w:t>, t=7.616 df=4, p=0.0016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Fig. 5d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Calibri"/>
                <w:b/>
                <w:bCs/>
                <w:color w:val="000000" w:themeColor="text1"/>
                <w:kern w:val="24"/>
              </w:rPr>
              <w:t>Two-way repeated measures ANOVA</w:t>
            </w:r>
            <w:r>
              <w:rPr>
                <w:rFonts w:hAnsi="Calibri"/>
                <w:color w:val="000000" w:themeColor="text1"/>
                <w:kern w:val="24"/>
              </w:rPr>
              <w:t>, Dose F (4, 11) = 91.3, p&lt;0.0001; Interaction F (16, 44) = 56.49, p&lt;0.0001; Time F (4, 44) = 1074, p&lt;0.0001; Subjects F (11, 44) = 7.616, p&lt;0.0001;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  <w:r>
              <w:rPr>
                <w:rFonts w:hAnsi="Calibri"/>
                <w:b/>
                <w:bCs/>
                <w:color w:val="000000" w:themeColor="text1"/>
                <w:kern w:val="24"/>
              </w:rPr>
              <w:t>Tukey's multiple comparison</w:t>
            </w:r>
            <w:r>
              <w:rPr>
                <w:rFonts w:hAnsi="Calibri"/>
                <w:color w:val="000000" w:themeColor="text1"/>
                <w:kern w:val="24"/>
              </w:rPr>
              <w:t xml:space="preserve"> control vs. all treated groups p&lt;0.0001 during 10 – 40 min (complete data in Figure 5d Post Hoc Analysis)</w:t>
            </w: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Fig. 5e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Calibri"/>
                <w:color w:val="000000" w:themeColor="text1"/>
                <w:kern w:val="24"/>
              </w:rPr>
              <w:t xml:space="preserve">Vehicle 8,539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1,057 AU, n=3; Vehicle/BNAH 2,966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218.5 AU, n=3; Dicoumarol/BNAH 15,024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208.2 AU, n=3; S29434/BNAH 2,768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154.4 AU, n=3; </w:t>
            </w:r>
            <w:r>
              <w:rPr>
                <w:rFonts w:hAnsi="+mn-ea"/>
                <w:b/>
                <w:bCs/>
                <w:color w:val="000000" w:themeColor="text1"/>
                <w:kern w:val="24"/>
              </w:rPr>
              <w:t>one-way ANOVA</w:t>
            </w:r>
            <w:r>
              <w:rPr>
                <w:rFonts w:hAnsi="+mn-ea"/>
                <w:color w:val="000000" w:themeColor="text1"/>
                <w:kern w:val="24"/>
              </w:rPr>
              <w:t>, p&lt;0.0001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  <w:r>
              <w:rPr>
                <w:rFonts w:hAnsi="+mn-ea"/>
                <w:b/>
                <w:bCs/>
                <w:color w:val="000000" w:themeColor="text1"/>
                <w:kern w:val="24"/>
              </w:rPr>
              <w:t>Tukey</w:t>
            </w:r>
            <w:r>
              <w:rPr>
                <w:rFonts w:hAnsi="+mn-ea"/>
                <w:b/>
                <w:bCs/>
                <w:color w:val="000000" w:themeColor="text1"/>
                <w:kern w:val="24"/>
              </w:rPr>
              <w:t>’</w:t>
            </w:r>
            <w:r>
              <w:rPr>
                <w:rFonts w:hAnsi="+mn-ea"/>
                <w:b/>
                <w:bCs/>
                <w:color w:val="000000" w:themeColor="text1"/>
                <w:kern w:val="24"/>
              </w:rPr>
              <w:t>s multiple comparisons test</w:t>
            </w:r>
            <w:r>
              <w:rPr>
                <w:rFonts w:hAnsi="+mn-ea"/>
                <w:color w:val="000000" w:themeColor="text1"/>
                <w:kern w:val="24"/>
              </w:rPr>
              <w:t xml:space="preserve"> Vehicle vs. Vehicle/BNAH p=0.0005, Vehicle vs. Dicoumarol/BNAH p=0.0001, Vehicle vs. S29434/BNAH p=0.0005, Vehicle/BNAH vs. Dicoumarol/BNAH p&lt;0.0001, Vehicle/BNAH vs. S29434/BNAH p&gt;0.9999, Dicoumarol/BNAH vs. S29434/BNAH p&lt;0.0001</w:t>
            </w: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Fig. 5f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+mn-ea"/>
                <w:color w:val="000000" w:themeColor="text1"/>
                <w:kern w:val="24"/>
              </w:rPr>
              <w:t xml:space="preserve">Vehicle </w:t>
            </w:r>
            <w:r>
              <w:rPr>
                <w:rFonts w:hAnsi="Calibri"/>
                <w:color w:val="000000" w:themeColor="text1"/>
                <w:kern w:val="24"/>
              </w:rPr>
              <w:t xml:space="preserve">8,539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1,057 AU, n=3; S29434 (0.2</w:t>
            </w:r>
            <w:r>
              <w:rPr>
                <w:color w:val="000000" w:themeColor="text1"/>
                <w:kern w:val="24"/>
              </w:rPr>
              <w:t>µ</w:t>
            </w:r>
            <w:r>
              <w:rPr>
                <w:rFonts w:hAnsi="+mn-ea"/>
                <w:color w:val="000000" w:themeColor="text1"/>
                <w:kern w:val="24"/>
              </w:rPr>
              <w:t xml:space="preserve">M) 10,709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662.8 AU, n=3; S29434 (2</w:t>
            </w:r>
            <w:r>
              <w:rPr>
                <w:color w:val="000000" w:themeColor="text1"/>
                <w:kern w:val="24"/>
              </w:rPr>
              <w:t>µ</w:t>
            </w:r>
            <w:r>
              <w:rPr>
                <w:rFonts w:hAnsi="+mn-ea"/>
                <w:color w:val="000000" w:themeColor="text1"/>
                <w:kern w:val="24"/>
              </w:rPr>
              <w:t xml:space="preserve">M) 8,090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440.1 AU, n=3; S29434 (20</w:t>
            </w:r>
            <w:r>
              <w:rPr>
                <w:color w:val="000000" w:themeColor="text1"/>
                <w:kern w:val="24"/>
              </w:rPr>
              <w:t>µ</w:t>
            </w:r>
            <w:r>
              <w:rPr>
                <w:rFonts w:hAnsi="+mn-ea"/>
                <w:color w:val="000000" w:themeColor="text1"/>
                <w:kern w:val="24"/>
              </w:rPr>
              <w:t xml:space="preserve">M) 4,644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344.2 AU, n=3</w:t>
            </w:r>
            <w:r>
              <w:rPr>
                <w:rFonts w:hAnsi="Calibri"/>
                <w:color w:val="000000" w:themeColor="text1"/>
                <w:kern w:val="24"/>
              </w:rPr>
              <w:t xml:space="preserve">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one way ANOVA</w:t>
            </w:r>
            <w:r>
              <w:rPr>
                <w:rFonts w:hAnsi="Calibri"/>
                <w:color w:val="000000" w:themeColor="text1"/>
                <w:kern w:val="24"/>
              </w:rPr>
              <w:t>, p=0.0036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  <w:r>
              <w:rPr>
                <w:rFonts w:hAnsi="Calibri"/>
                <w:b/>
                <w:bCs/>
                <w:color w:val="000000" w:themeColor="text1"/>
                <w:kern w:val="24"/>
              </w:rPr>
              <w:t>Tukey’s multiple comparisons test</w:t>
            </w:r>
            <w:r>
              <w:rPr>
                <w:rFonts w:hAnsi="Calibri"/>
                <w:color w:val="000000" w:themeColor="text1"/>
                <w:kern w:val="24"/>
              </w:rPr>
              <w:t xml:space="preserve">  Vehicle vs. S29434 (0.2</w:t>
            </w:r>
            <w:r>
              <w:rPr>
                <w:color w:val="000000" w:themeColor="text1"/>
                <w:kern w:val="24"/>
              </w:rPr>
              <w:t>µ</w:t>
            </w:r>
            <w:r>
              <w:rPr>
                <w:rFonts w:hAnsi="Calibri"/>
                <w:color w:val="000000" w:themeColor="text1"/>
                <w:kern w:val="24"/>
              </w:rPr>
              <w:t>M) p=0.1909,  Vehicle vs. S29434 (2</w:t>
            </w:r>
            <w:r>
              <w:rPr>
                <w:color w:val="000000" w:themeColor="text1"/>
                <w:kern w:val="24"/>
              </w:rPr>
              <w:t>µ</w:t>
            </w:r>
            <w:r>
              <w:rPr>
                <w:rFonts w:hAnsi="Calibri"/>
                <w:color w:val="000000" w:themeColor="text1"/>
                <w:kern w:val="24"/>
              </w:rPr>
              <w:t>M) p=0.9647,  Vehicle vs. S29434 (20</w:t>
            </w:r>
            <w:r>
              <w:rPr>
                <w:color w:val="000000" w:themeColor="text1"/>
                <w:kern w:val="24"/>
              </w:rPr>
              <w:t>µ</w:t>
            </w:r>
            <w:r>
              <w:rPr>
                <w:rFonts w:hAnsi="Calibri"/>
                <w:color w:val="000000" w:themeColor="text1"/>
                <w:kern w:val="24"/>
              </w:rPr>
              <w:t>M) p=0.0390,  S29434 (0.2</w:t>
            </w:r>
            <w:r>
              <w:rPr>
                <w:color w:val="000000" w:themeColor="text1"/>
                <w:kern w:val="24"/>
              </w:rPr>
              <w:t>µ</w:t>
            </w:r>
            <w:r>
              <w:rPr>
                <w:rFonts w:hAnsi="Calibri"/>
                <w:color w:val="000000" w:themeColor="text1"/>
                <w:kern w:val="24"/>
              </w:rPr>
              <w:t>M) vs. S29434 (2</w:t>
            </w:r>
            <w:r>
              <w:rPr>
                <w:color w:val="000000" w:themeColor="text1"/>
                <w:kern w:val="24"/>
              </w:rPr>
              <w:t>µ</w:t>
            </w:r>
            <w:r>
              <w:rPr>
                <w:rFonts w:hAnsi="Calibri"/>
                <w:color w:val="000000" w:themeColor="text1"/>
                <w:kern w:val="24"/>
              </w:rPr>
              <w:t xml:space="preserve">M) p=0.1002,  S29434 </w:t>
            </w:r>
            <w:r>
              <w:rPr>
                <w:rFonts w:hAnsi="Calibri"/>
                <w:color w:val="000000" w:themeColor="text1"/>
                <w:kern w:val="24"/>
              </w:rPr>
              <w:lastRenderedPageBreak/>
              <w:t>(0.2</w:t>
            </w:r>
            <w:r>
              <w:rPr>
                <w:color w:val="000000" w:themeColor="text1"/>
                <w:kern w:val="24"/>
              </w:rPr>
              <w:t>µ</w:t>
            </w:r>
            <w:r>
              <w:rPr>
                <w:rFonts w:hAnsi="Calibri"/>
                <w:color w:val="000000" w:themeColor="text1"/>
                <w:kern w:val="24"/>
              </w:rPr>
              <w:t>M) vs. S29434 (20</w:t>
            </w:r>
            <w:r>
              <w:rPr>
                <w:color w:val="000000" w:themeColor="text1"/>
                <w:kern w:val="24"/>
              </w:rPr>
              <w:t>µ</w:t>
            </w:r>
            <w:r>
              <w:rPr>
                <w:rFonts w:hAnsi="Calibri"/>
                <w:color w:val="000000" w:themeColor="text1"/>
                <w:kern w:val="24"/>
              </w:rPr>
              <w:t>M) p=0.0022,  S29434(2</w:t>
            </w:r>
            <w:r>
              <w:rPr>
                <w:color w:val="000000" w:themeColor="text1"/>
                <w:kern w:val="24"/>
              </w:rPr>
              <w:t>µ</w:t>
            </w:r>
            <w:r>
              <w:rPr>
                <w:rFonts w:hAnsi="Calibri"/>
                <w:color w:val="000000" w:themeColor="text1"/>
                <w:kern w:val="24"/>
              </w:rPr>
              <w:t>M) vs. S29434 (20</w:t>
            </w:r>
            <w:r>
              <w:rPr>
                <w:color w:val="000000" w:themeColor="text1"/>
                <w:kern w:val="24"/>
              </w:rPr>
              <w:t>µ</w:t>
            </w:r>
            <w:r>
              <w:rPr>
                <w:rFonts w:hAnsi="Calibri"/>
                <w:color w:val="000000" w:themeColor="text1"/>
                <w:kern w:val="24"/>
              </w:rPr>
              <w:t>M) p=0.0750</w:t>
            </w: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Fig. 5g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proofErr w:type="spellStart"/>
            <w:r>
              <w:rPr>
                <w:rFonts w:hAnsi="Calibri"/>
                <w:color w:val="000000" w:themeColor="text1"/>
                <w:kern w:val="24"/>
              </w:rPr>
              <w:t>Lenti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-Scrambled 1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0.04766 AU, n=9; </w:t>
            </w:r>
            <w:proofErr w:type="spellStart"/>
            <w:r>
              <w:rPr>
                <w:rFonts w:hAnsi="+mn-ea"/>
                <w:color w:val="000000" w:themeColor="text1"/>
                <w:kern w:val="24"/>
              </w:rPr>
              <w:t>Lenti</w:t>
            </w:r>
            <w:proofErr w:type="spellEnd"/>
            <w:r>
              <w:rPr>
                <w:rFonts w:hAnsi="+mn-ea"/>
                <w:color w:val="000000" w:themeColor="text1"/>
                <w:kern w:val="24"/>
              </w:rPr>
              <w:t xml:space="preserve">-shRNA QR2 0.7881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0.05523 AU, n=9; </w:t>
            </w:r>
            <w:r>
              <w:rPr>
                <w:rFonts w:hAnsi="+mn-ea"/>
                <w:b/>
                <w:bCs/>
                <w:color w:val="000000" w:themeColor="text1"/>
                <w:kern w:val="24"/>
              </w:rPr>
              <w:t>Mann-Whitney test</w:t>
            </w:r>
            <w:r>
              <w:rPr>
                <w:rFonts w:hAnsi="+mn-ea"/>
                <w:color w:val="000000" w:themeColor="text1"/>
                <w:kern w:val="24"/>
              </w:rPr>
              <w:t>, p=0.0106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Fig. 5h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Calibri"/>
                <w:color w:val="000000" w:themeColor="text1"/>
                <w:kern w:val="24"/>
              </w:rPr>
              <w:t xml:space="preserve">Vehicle 1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0.03299 AU, n=10; S29434 0.8947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0.03452 AU, n=10; </w:t>
            </w:r>
            <w:r>
              <w:rPr>
                <w:rFonts w:hAnsi="+mn-ea"/>
                <w:b/>
                <w:bCs/>
                <w:color w:val="000000" w:themeColor="text1"/>
                <w:kern w:val="24"/>
              </w:rPr>
              <w:t>Mann-Whitney test</w:t>
            </w:r>
            <w:r>
              <w:rPr>
                <w:rFonts w:hAnsi="+mn-ea"/>
                <w:color w:val="000000" w:themeColor="text1"/>
                <w:kern w:val="24"/>
              </w:rPr>
              <w:t>, p= 0.0524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Extended Data Fig. 1a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+mn-ea"/>
                <w:color w:val="000000" w:themeColor="text1"/>
                <w:kern w:val="24"/>
              </w:rPr>
            </w:pPr>
            <w:r>
              <w:rPr>
                <w:rFonts w:hAnsi="Calibri"/>
                <w:color w:val="000000" w:themeColor="text1"/>
                <w:kern w:val="24"/>
              </w:rPr>
              <w:t xml:space="preserve">Familiar 1.757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</w:t>
            </w:r>
            <w:r>
              <w:rPr>
                <w:rFonts w:hAnsi="Calibri"/>
                <w:color w:val="000000" w:themeColor="text1"/>
                <w:kern w:val="24"/>
              </w:rPr>
              <w:t xml:space="preserve">0.2225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n=4; Novel 1.685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0.308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>, n=4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; Student's t test</w:t>
            </w:r>
            <w:r>
              <w:rPr>
                <w:rFonts w:hAnsi="Calibri"/>
                <w:color w:val="000000" w:themeColor="text1"/>
                <w:kern w:val="24"/>
              </w:rPr>
              <w:t>, t=0.1886 df=6, p=0.8566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Extended Data Fig. 1b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Calibri"/>
                <w:color w:val="000000" w:themeColor="text1"/>
                <w:kern w:val="24"/>
              </w:rPr>
              <w:t xml:space="preserve">Familiar 4.286 ± 0.05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n=7; Novel 4.242 ± 0.053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n=7;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Student's t test</w:t>
            </w:r>
            <w:r>
              <w:rPr>
                <w:rFonts w:hAnsi="Calibri"/>
                <w:color w:val="000000" w:themeColor="text1"/>
                <w:kern w:val="24"/>
              </w:rPr>
              <w:t>, t=0.6052 df=12, p=0.5563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Extended Data Fig. 2b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rPr>
                <w:rFonts w:hAnsi="Calibri"/>
                <w:color w:val="000000" w:themeColor="text1"/>
                <w:kern w:val="24"/>
              </w:rPr>
              <w:t xml:space="preserve">Scrambled 5.024 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0.118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n=4; shRNA QR2 4.893 </w:t>
            </w:r>
            <w:r>
              <w:rPr>
                <w:rFonts w:hAnsi="+mn-ea"/>
                <w:color w:val="000000" w:themeColor="text1"/>
                <w:kern w:val="24"/>
              </w:rPr>
              <w:t>±</w:t>
            </w:r>
            <w:r>
              <w:rPr>
                <w:rFonts w:hAnsi="+mn-ea"/>
                <w:color w:val="000000" w:themeColor="text1"/>
                <w:kern w:val="24"/>
              </w:rPr>
              <w:t xml:space="preserve"> 0.072 </w:t>
            </w:r>
            <w:proofErr w:type="spellStart"/>
            <w:r>
              <w:rPr>
                <w:rFonts w:hAnsi="Calibri"/>
                <w:color w:val="000000" w:themeColor="text1"/>
                <w:kern w:val="24"/>
              </w:rPr>
              <w:t>ΔCt</w:t>
            </w:r>
            <w:proofErr w:type="spellEnd"/>
            <w:r>
              <w:rPr>
                <w:rFonts w:hAnsi="Calibri"/>
                <w:color w:val="000000" w:themeColor="text1"/>
                <w:kern w:val="24"/>
              </w:rPr>
              <w:t xml:space="preserve">, n=5;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>Student's t test</w:t>
            </w:r>
            <w:r>
              <w:rPr>
                <w:rFonts w:hAnsi="Calibri"/>
                <w:color w:val="000000" w:themeColor="text1"/>
                <w:kern w:val="24"/>
              </w:rPr>
              <w:t>, t=0.9903 df=7, p=0.355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Extended Data Fig. 3a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t xml:space="preserve">Familiar-Vehicle 8.103 ± 0.1035 </w:t>
            </w:r>
            <w:proofErr w:type="spellStart"/>
            <w:r>
              <w:t>ΔCt</w:t>
            </w:r>
            <w:proofErr w:type="spellEnd"/>
            <w:r>
              <w:t xml:space="preserve">, n=4; Novel-Vehicle 8.126 ± 0.147 </w:t>
            </w:r>
            <w:proofErr w:type="spellStart"/>
            <w:r>
              <w:t>ΔCt</w:t>
            </w:r>
            <w:proofErr w:type="spellEnd"/>
            <w:r>
              <w:t>, n=6; Familiar-</w:t>
            </w:r>
            <w:proofErr w:type="spellStart"/>
            <w:r>
              <w:t>Bicuculline</w:t>
            </w:r>
            <w:proofErr w:type="spellEnd"/>
            <w:r>
              <w:t xml:space="preserve"> 8.212 ± 0.07281 </w:t>
            </w:r>
            <w:proofErr w:type="spellStart"/>
            <w:r>
              <w:t>ΔCt</w:t>
            </w:r>
            <w:proofErr w:type="spellEnd"/>
            <w:r>
              <w:t>, n=5; Novel-</w:t>
            </w:r>
            <w:proofErr w:type="spellStart"/>
            <w:r>
              <w:t>Bicuculline</w:t>
            </w:r>
            <w:proofErr w:type="spellEnd"/>
            <w:r>
              <w:t xml:space="preserve"> 8.214 ± 0.07981 </w:t>
            </w:r>
            <w:proofErr w:type="spellStart"/>
            <w:r>
              <w:t>ΔCt</w:t>
            </w:r>
            <w:proofErr w:type="spellEnd"/>
            <w:r>
              <w:t>, n=5; Familiar-</w:t>
            </w:r>
            <w:proofErr w:type="spellStart"/>
            <w:r>
              <w:t>Muscimol</w:t>
            </w:r>
            <w:proofErr w:type="spellEnd"/>
            <w:r>
              <w:t xml:space="preserve"> 8.293 ± 0.03054 </w:t>
            </w:r>
            <w:proofErr w:type="spellStart"/>
            <w:r>
              <w:t>ΔCt</w:t>
            </w:r>
            <w:proofErr w:type="spellEnd"/>
            <w:r>
              <w:t>, n=4; Novel-</w:t>
            </w:r>
            <w:proofErr w:type="spellStart"/>
            <w:r>
              <w:t>Muscimol</w:t>
            </w:r>
            <w:proofErr w:type="spellEnd"/>
            <w:r>
              <w:t xml:space="preserve"> 8.207 ± 0.07616 </w:t>
            </w:r>
            <w:proofErr w:type="spellStart"/>
            <w:r>
              <w:t>ΔCt</w:t>
            </w:r>
            <w:proofErr w:type="spellEnd"/>
            <w:r>
              <w:t xml:space="preserve">, n=5; </w:t>
            </w:r>
            <w:r>
              <w:rPr>
                <w:rFonts w:hAnsi="Calibri"/>
                <w:b/>
                <w:bCs/>
                <w:color w:val="000000" w:themeColor="text1"/>
                <w:kern w:val="24"/>
              </w:rPr>
              <w:t xml:space="preserve">Two way ANOVA, </w:t>
            </w:r>
            <w:r>
              <w:rPr>
                <w:rFonts w:hAnsi="Calibri"/>
                <w:color w:val="000000" w:themeColor="text1"/>
                <w:kern w:val="24"/>
              </w:rPr>
              <w:t>Taste F=0.060 p=0.809, Treatment F=0.934 p=0.407, Interaction F=0.155 p=0.857</w:t>
            </w:r>
          </w:p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Extended Data Fig. 3b</w:t>
            </w:r>
          </w:p>
        </w:tc>
        <w:tc>
          <w:tcPr>
            <w:tcW w:w="3969" w:type="dxa"/>
          </w:tcPr>
          <w:p>
            <w:pPr>
              <w:spacing w:line="480" w:lineRule="auto"/>
              <w:rPr>
                <w:rFonts w:hAnsi="Calibri"/>
                <w:color w:val="000000" w:themeColor="text1"/>
                <w:kern w:val="24"/>
              </w:rPr>
            </w:pPr>
            <w:r>
              <w:t xml:space="preserve">Scopolamine/Bicuculline 8.118 ± 0.0731 </w:t>
            </w:r>
            <w:proofErr w:type="spellStart"/>
            <w:r>
              <w:t>ΔCt</w:t>
            </w:r>
            <w:proofErr w:type="spellEnd"/>
            <w:r>
              <w:t xml:space="preserve">, n=8; </w:t>
            </w:r>
            <w:proofErr w:type="spellStart"/>
            <w:r>
              <w:t>Veh</w:t>
            </w:r>
            <w:proofErr w:type="spellEnd"/>
            <w:r>
              <w:t xml:space="preserve">/Bic 8.166 ± 0.07022 </w:t>
            </w:r>
            <w:proofErr w:type="spellStart"/>
            <w:r>
              <w:t>ΔCt</w:t>
            </w:r>
            <w:proofErr w:type="spellEnd"/>
            <w:r>
              <w:t xml:space="preserve">, n=6; </w:t>
            </w:r>
            <w:r>
              <w:rPr>
                <w:b/>
                <w:bCs/>
              </w:rPr>
              <w:t>Mann-Whitney test</w:t>
            </w:r>
            <w:r>
              <w:t>, p=0.8518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Extended Data Fig. 4a</w:t>
            </w:r>
          </w:p>
        </w:tc>
        <w:tc>
          <w:tcPr>
            <w:tcW w:w="3969" w:type="dxa"/>
          </w:tcPr>
          <w:p>
            <w:pPr>
              <w:spacing w:line="480" w:lineRule="auto"/>
            </w:pPr>
            <w:r>
              <w:t xml:space="preserve">1 h Post Familiar Taste Hippocampus 16.65 ± 0.2314 </w:t>
            </w:r>
            <w:proofErr w:type="spellStart"/>
            <w:r>
              <w:t>ΔCt</w:t>
            </w:r>
            <w:proofErr w:type="spellEnd"/>
            <w:r>
              <w:t xml:space="preserve">, n=8; 1 h Post Novel Taste Hippocampus 17.03 ± 0.422 </w:t>
            </w:r>
            <w:proofErr w:type="spellStart"/>
            <w:r>
              <w:t>ΔCt</w:t>
            </w:r>
            <w:proofErr w:type="spellEnd"/>
            <w:r>
              <w:t xml:space="preserve">, n=8; </w:t>
            </w:r>
            <w:r>
              <w:rPr>
                <w:b/>
                <w:bCs/>
              </w:rPr>
              <w:t>Student t test</w:t>
            </w:r>
            <w:r>
              <w:t>, t=0.7885 df=14, p=0.4435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Extended Data Fig. 4b</w:t>
            </w:r>
          </w:p>
        </w:tc>
        <w:tc>
          <w:tcPr>
            <w:tcW w:w="3969" w:type="dxa"/>
          </w:tcPr>
          <w:p>
            <w:pPr>
              <w:spacing w:line="480" w:lineRule="auto"/>
            </w:pPr>
            <w:r>
              <w:t xml:space="preserve">Vehicle / Vehicle 13.14 ±  0.715 </w:t>
            </w:r>
            <w:proofErr w:type="spellStart"/>
            <w:r>
              <w:t>ΔCt</w:t>
            </w:r>
            <w:proofErr w:type="spellEnd"/>
            <w:r>
              <w:t xml:space="preserve">, n=5; Vehicle / Bicuculline 13.68 ±  0.474 </w:t>
            </w:r>
            <w:proofErr w:type="spellStart"/>
            <w:r>
              <w:t>ΔCt</w:t>
            </w:r>
            <w:proofErr w:type="spellEnd"/>
            <w:r>
              <w:t xml:space="preserve">, n=6; Scopolamine / Bicuculline 13.42 ±  0.554 </w:t>
            </w:r>
            <w:proofErr w:type="spellStart"/>
            <w:r>
              <w:t>ΔCt</w:t>
            </w:r>
            <w:proofErr w:type="spellEnd"/>
            <w:r>
              <w:t xml:space="preserve">, n=6;  </w:t>
            </w:r>
            <w:proofErr w:type="spellStart"/>
            <w:r>
              <w:rPr>
                <w:b/>
                <w:bCs/>
              </w:rPr>
              <w:t>Kruskal</w:t>
            </w:r>
            <w:proofErr w:type="spellEnd"/>
            <w:r>
              <w:rPr>
                <w:b/>
                <w:bCs/>
              </w:rPr>
              <w:t>-Wallis test</w:t>
            </w:r>
            <w:r>
              <w:t>, p=0.8791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rFonts w:hAnsi="Calibri"/>
                <w:b/>
                <w:bCs/>
                <w:color w:val="000000" w:themeColor="text1"/>
                <w:kern w:val="24"/>
              </w:rPr>
            </w:pPr>
            <w:r>
              <w:rPr>
                <w:b/>
                <w:bCs/>
              </w:rPr>
              <w:t>Dunn’s multiple comparison test</w:t>
            </w:r>
            <w:r>
              <w:t>, Vehicle / Vehicle vs. Vehicle / Bicuculline p&gt;0.9999, Vehicle / Vehicle vs. Scopolamine / Bicuculline p&gt;0.9999, Vehicle / Bicuculline vs. Scopolamine / Bicuculline p&gt;0.9999</w:t>
            </w: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Extended Data Fig. 5a</w:t>
            </w:r>
          </w:p>
        </w:tc>
        <w:tc>
          <w:tcPr>
            <w:tcW w:w="3969" w:type="dxa"/>
          </w:tcPr>
          <w:p>
            <w:pPr>
              <w:spacing w:line="480" w:lineRule="auto"/>
            </w:pPr>
            <w:proofErr w:type="spellStart"/>
            <w:r>
              <w:t>Lenti</w:t>
            </w:r>
            <w:proofErr w:type="spellEnd"/>
            <w:r>
              <w:t xml:space="preserve">-GFP Hippocampus 15.72 ± 0.2585 </w:t>
            </w:r>
            <w:proofErr w:type="spellStart"/>
            <w:r>
              <w:t>ΔCt</w:t>
            </w:r>
            <w:proofErr w:type="spellEnd"/>
            <w:r>
              <w:t xml:space="preserve">, n=5; Lenti-miR-182 Hippocampus 15.27 ± 0.235 </w:t>
            </w:r>
            <w:proofErr w:type="spellStart"/>
            <w:r>
              <w:t>ΔCt</w:t>
            </w:r>
            <w:proofErr w:type="spellEnd"/>
            <w:r>
              <w:t xml:space="preserve">, n=4; </w:t>
            </w:r>
            <w:r>
              <w:rPr>
                <w:b/>
                <w:bCs/>
              </w:rPr>
              <w:t>Student t test</w:t>
            </w:r>
            <w:r>
              <w:t>, t=1.239 df=7, p=0.2554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b/>
                <w:bCs/>
              </w:rPr>
            </w:pPr>
          </w:p>
        </w:tc>
      </w:tr>
      <w:tr>
        <w:tc>
          <w:tcPr>
            <w:tcW w:w="1413" w:type="dxa"/>
          </w:tcPr>
          <w:p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Extended Data Fig. 5b</w:t>
            </w:r>
          </w:p>
        </w:tc>
        <w:tc>
          <w:tcPr>
            <w:tcW w:w="3969" w:type="dxa"/>
          </w:tcPr>
          <w:p>
            <w:pPr>
              <w:spacing w:line="480" w:lineRule="auto"/>
            </w:pPr>
            <w:proofErr w:type="spellStart"/>
            <w:r>
              <w:t>Lenti</w:t>
            </w:r>
            <w:proofErr w:type="spellEnd"/>
            <w:r>
              <w:t xml:space="preserve">-GFP Hippocampus 8.814 ± 0.022 </w:t>
            </w:r>
            <w:proofErr w:type="spellStart"/>
            <w:r>
              <w:t>ΔCt</w:t>
            </w:r>
            <w:proofErr w:type="spellEnd"/>
            <w:r>
              <w:t xml:space="preserve">, n=5; Lenti-miR-182 Hippocampus 8.788 ± 0.010 </w:t>
            </w:r>
            <w:proofErr w:type="spellStart"/>
            <w:r>
              <w:t>ΔCt</w:t>
            </w:r>
            <w:proofErr w:type="spellEnd"/>
            <w:r>
              <w:t xml:space="preserve">, n=4; </w:t>
            </w:r>
            <w:r>
              <w:rPr>
                <w:b/>
                <w:bCs/>
              </w:rPr>
              <w:t>Student t test</w:t>
            </w:r>
            <w:r>
              <w:t>, t=0.986 df=7, p=0.3568</w:t>
            </w:r>
          </w:p>
        </w:tc>
        <w:tc>
          <w:tcPr>
            <w:tcW w:w="4110" w:type="dxa"/>
          </w:tcPr>
          <w:p>
            <w:pPr>
              <w:spacing w:line="480" w:lineRule="auto"/>
              <w:rPr>
                <w:b/>
                <w:bCs/>
              </w:rPr>
            </w:pPr>
          </w:p>
        </w:tc>
      </w:tr>
    </w:tbl>
    <w:p/>
    <w:p>
      <w:pPr>
        <w:rPr>
          <w:b/>
          <w:bCs/>
        </w:rPr>
      </w:pPr>
      <w:r>
        <w:rPr>
          <w:b/>
          <w:bCs/>
        </w:rPr>
        <w:br w:type="page"/>
      </w:r>
    </w:p>
    <w:p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b/>
          <w:bCs/>
        </w:rPr>
        <w:sectPr>
          <w:headerReference w:type="default" r:id="rId16"/>
          <w:pgSz w:w="11906" w:h="16838"/>
          <w:pgMar w:top="568" w:right="991" w:bottom="993" w:left="1276" w:header="708" w:footer="708" w:gutter="0"/>
          <w:lnNumType w:countBy="1" w:restart="continuous"/>
          <w:cols w:space="708"/>
          <w:docGrid w:linePitch="360"/>
        </w:sectPr>
      </w:pPr>
    </w:p>
    <w:p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lang w:val="en-US"/>
        </w:rPr>
      </w:pPr>
      <w:r>
        <w:rPr>
          <w:b/>
          <w:bCs/>
        </w:rPr>
        <w:lastRenderedPageBreak/>
        <w:t>Figure 5d Post Hoc Analysis.</w:t>
      </w:r>
      <w:r>
        <w:rPr>
          <w:lang w:val="en-US"/>
        </w:rPr>
        <w:t xml:space="preserve"> </w:t>
      </w:r>
    </w:p>
    <w:tbl>
      <w:tblPr>
        <w:tblW w:w="13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4"/>
        <w:gridCol w:w="1162"/>
        <w:gridCol w:w="1622"/>
        <w:gridCol w:w="1162"/>
        <w:gridCol w:w="1162"/>
        <w:gridCol w:w="1442"/>
        <w:gridCol w:w="1162"/>
        <w:gridCol w:w="1162"/>
        <w:gridCol w:w="1162"/>
      </w:tblGrid>
      <w:t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Tukey's multiple comparisons test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Mean Diff.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95.00% CI of diff.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Significant?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Summary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Adjusted P Value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62.5nM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-6013 to 8905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0.9819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-6084 to 8833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0.9850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-6097 to 8821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0.9855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-5659 to 8295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0.9836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-71.67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-7530 to 7387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&gt;0.9999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-7543 to 7375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&gt;0.9999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-128.3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-7105 to 6849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&gt;0.9999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-12.33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-7471 to 7446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&gt;0.9999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-56.67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-7034 to 6920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&gt;0.9999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250nM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-44.33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-7021 to 6933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&gt;0.9999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62.5nM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19949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12490 to 27408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22421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14962 to 29880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25220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17761 to 32679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31852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24875 to 38829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-4987 to 9931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0.8821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-2188 to 12730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0.2829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11903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4926 to 18880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-4660 to 10258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0.8267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2454 to 16408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0.0031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250nM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-345 to 13609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0.0699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62.5nM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23239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15781 to 30698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28041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20582 to 35500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30954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23496 to 38413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46702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39725 to 53679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-2657 to 12260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0.3752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256.4 to 15174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0.0392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23463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16486 to 30440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-4545 to 10372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0.8049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18661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11684 to 25638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250nM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15748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8771 to 22725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62.5nM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18079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10621 to 25538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16694 to 31611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28094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20635 to 35552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51729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44753 to 58706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-1386 to 13532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0.1616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2556 to 17473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0.0034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33650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26673 to 40627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-3517 to 11400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0.5730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27577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20600 to 34554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lastRenderedPageBreak/>
              <w:t>250nM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23636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16659 to 30613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62.5nM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16579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9120 to 24037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22147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14689 to 29606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19508 to 34426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56510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49533 to 63487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-1890 to 13027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0.2324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2930 to 17847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0.0022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39932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32955 to 46908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4820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-2639 to 12278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0.3714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34363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27386 to 41340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250nM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29543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22566 to 36520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Test details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Mean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Mean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Mean Diff.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SE of diff.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DF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62.5nM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732.7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0.7733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804.3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0.7349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816.7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0.7283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0.7533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732.7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804.3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-71.67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0.03832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732.7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816.7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0.04492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732.7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-128.3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0.07337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804.3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816.7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-12.33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0.006595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804.3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-56.67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0.0324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250nM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816.7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-44.33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0.02534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62.5nM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35972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16023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19949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35972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22421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11.99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35972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25220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35972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31852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18.21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16023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1.322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16023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2.819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16023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11903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6.805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1.497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5.391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250nM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3.791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62.5nM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52825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29586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23239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52825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28041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52825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21871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30954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16.55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52825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46702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29586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2.568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29586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21871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4.126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29586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23463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21871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1.558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18661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250nM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21871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15748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lastRenderedPageBreak/>
              <w:t>Control vs. 62.5nM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61535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18079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61535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37382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61535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33441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28094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15.02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61535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51729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29.57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37382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3.248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33441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5.355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33650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19.24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37382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33441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2.108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37382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27577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15.77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250nM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33441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23636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62.5nM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70084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53505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16579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8.866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70084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47936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22147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11.84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70084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14.42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70084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56510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32.31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53505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47936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2.978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53505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5.555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53505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39932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22.83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47936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4820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2.577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47936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34363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19.64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250nM S29434 vs. 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29543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16.89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</w:t>
            </w:r>
          </w:p>
        </w:tc>
      </w:tr>
    </w:tbl>
    <w:p>
      <w:pPr>
        <w:rPr>
          <w:lang w:val="en-US"/>
        </w:rPr>
      </w:pPr>
    </w:p>
    <w:tbl>
      <w:tblPr>
        <w:tblW w:w="125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7"/>
        <w:gridCol w:w="1163"/>
        <w:gridCol w:w="1625"/>
        <w:gridCol w:w="1164"/>
        <w:gridCol w:w="1164"/>
        <w:gridCol w:w="1445"/>
        <w:gridCol w:w="1164"/>
        <w:gridCol w:w="1164"/>
        <w:gridCol w:w="1164"/>
      </w:tblGrid>
      <w:t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Tukey's multiple comparisons test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Mean Diff.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95.00% CI of diff.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Significant?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Summary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Adjusted P Value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10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-33794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-38728 to -28859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-50647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-55581 to -45712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-59356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-64291 to -54421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-67905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-72840 to -62970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-16853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-21788 to -11918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-25562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-30497 to -20628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-34111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-39046 to -29177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-8709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-13644 to -3775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-17258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-22193 to -12324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-8549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-13484 to -3614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10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-15291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-20225 to -10356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-28853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-33788 to -23919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-42723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-47657 to -37788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-52772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-57707 to -47838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-13563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-18497 to -8628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-27432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-32367 to -22497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-37482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-42416 to -32547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-13869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-18804 to -8935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-23919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-28854 to -18984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-10050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-14984 to -5115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lastRenderedPageBreak/>
              <w:t>0 min vs. 10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-12747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-17682 to -7812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-23980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-28915 to -19045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-36578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-41513 to -31643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-47132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-52067 to -42197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-11233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-16168 to -6298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-23831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-28766 to -18896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-34385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-39320 to -29450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-12598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-17533 to -7663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-23152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-28087 to -18217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-10554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-15489 to -5619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10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-9936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-14870 to -5001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-21054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-25989 to -16120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-32624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-37559 to -27690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-42300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-47235 to -37365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-11119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-16053 to -6184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-22689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-27623 to -17754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-32364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-37299 to -27430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-11570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-16505 to -6635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-21246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-26180 to -16311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-9676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-14610 to -4741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10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-7533 to 1014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0.2104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-5262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-9536 to -988.7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0.0090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-8944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-13218 to -4671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-12713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-16986 to -8439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-6276 to 2271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0.6726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-5685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-9958 to -1411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0.0040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-9453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-13727 to -5179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-3682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-7956 to 591.5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0.1211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-7450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-11724 to -3177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-3768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-8042 to 505.3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0.1073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Test details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Mean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Mean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Mean Diff.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SE of diff.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DF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10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35972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-33794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27.54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52825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-50647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61535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-59356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48.38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70084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-67905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55.35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35972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52825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-16853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35972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61535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-25562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35972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70084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-34111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52825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61535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-8709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52825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70084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-17258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14.07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61535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70084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-8549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6.968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62.5nM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10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732.7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16023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-15291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732.7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29586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-28853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23.52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lastRenderedPageBreak/>
              <w:t>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732.7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-42723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34.82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732.7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53505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-52772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16023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29586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-13563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16023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-27432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22.36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16023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53505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-37482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29586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-13869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29586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53505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-23919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53505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-10050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8.191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125nM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10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804.3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-12747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804.3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-23980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19.55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804.3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37382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-36578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29.81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804.3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47936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-47132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38.42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-11233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9.156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37382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-23831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19.42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47936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-34385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28.03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37382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-12598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24784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47936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-23152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18.87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37382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47936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-10554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8.602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250nM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10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816.7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-9936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8.098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816.7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21871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-21054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816.7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33441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-32624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816.7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-42300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34.48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21871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-11119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33441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-22689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18.49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-32364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26.38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21871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33441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-11570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21871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-21246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33441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43117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-9676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7.887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500nM S29434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10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3.068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-5262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4.953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-8944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8.418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-12713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11.96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20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-2003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1.885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-5685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5.35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-9453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8.897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30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-3682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3.465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20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6123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-7450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7.012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  <w:t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30 min vs. 40 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9805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13574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-3768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1503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3.547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44</w:t>
            </w:r>
          </w:p>
        </w:tc>
      </w:tr>
    </w:tbl>
    <w:p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lang w:val="en-US"/>
        </w:rPr>
      </w:pPr>
    </w:p>
    <w:sectPr>
      <w:pgSz w:w="16838" w:h="11906" w:orient="landscape"/>
      <w:pgMar w:top="1276" w:right="567" w:bottom="992" w:left="992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7311713"/>
      <w:docPartObj>
        <w:docPartGallery w:val="Page Numbers (Top of Page)"/>
        <w:docPartUnique/>
      </w:docPartObj>
    </w:sdtPr>
    <w:sdtEndPr>
      <w:rPr>
        <w:noProof/>
      </w:rPr>
    </w:sdtEndPr>
    <w:sdtContent>
      <w:p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1C45C3"/>
    <w:multiLevelType w:val="multilevel"/>
    <w:tmpl w:val="3E501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2732C7"/>
    <w:multiLevelType w:val="hybridMultilevel"/>
    <w:tmpl w:val="6114A9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E1A51B7-75F7-4665-96A5-C49194924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LineNumber">
    <w:name w:val="line number"/>
    <w:basedOn w:val="DefaultParagraphFon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</w:style>
  <w:style w:type="paragraph" w:customStyle="1" w:styleId="fontsymb">
    <w:name w:val="fontsymb"/>
    <w:basedOn w:val="Normal"/>
    <w:pPr>
      <w:spacing w:before="100" w:beforeAutospacing="1" w:after="100" w:afterAutospacing="1" w:line="240" w:lineRule="auto"/>
    </w:pPr>
    <w:rPr>
      <w:rFonts w:ascii="Symbol" w:eastAsia="Times New Roman" w:hAnsi="Symbol" w:cs="Times New Roman"/>
      <w:i/>
      <w:iCs/>
      <w:sz w:val="16"/>
      <w:szCs w:val="16"/>
      <w:lang w:eastAsia="en-GB"/>
    </w:rPr>
  </w:style>
  <w:style w:type="paragraph" w:customStyle="1" w:styleId="fontwing">
    <w:name w:val="fontwing"/>
    <w:basedOn w:val="Normal"/>
    <w:pPr>
      <w:spacing w:before="100" w:beforeAutospacing="1" w:after="100" w:afterAutospacing="1" w:line="240" w:lineRule="auto"/>
    </w:pPr>
    <w:rPr>
      <w:rFonts w:ascii="Wingdings" w:eastAsia="Times New Roman" w:hAnsi="Wingdings" w:cs="Times New Roman"/>
      <w:i/>
      <w:iCs/>
      <w:sz w:val="16"/>
      <w:szCs w:val="16"/>
      <w:lang w:eastAsia="en-GB"/>
    </w:rPr>
  </w:style>
  <w:style w:type="paragraph" w:customStyle="1" w:styleId="xi">
    <w:name w:val="xi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b">
    <w:name w:val="xb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ct">
    <w:name w:val="xct"/>
    <w:basedOn w:val="Normal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sct">
    <w:name w:val="xsct"/>
    <w:basedOn w:val="Normal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rt">
    <w:name w:val="xrt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numbering" w:customStyle="1" w:styleId="NoList2">
    <w:name w:val="No List2"/>
    <w:next w:val="NoList"/>
    <w:uiPriority w:val="99"/>
    <w:semiHidden/>
    <w:unhideWhenUsed/>
  </w:style>
  <w:style w:type="numbering" w:customStyle="1" w:styleId="NoList11">
    <w:name w:val="No List11"/>
    <w:next w:val="No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8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B232F-C834-44BA-A46B-A4AB3E46D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19</Pages>
  <Words>3536</Words>
  <Characters>20160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Parikh, Dhiren</cp:lastModifiedBy>
  <cp:revision>7</cp:revision>
  <dcterms:created xsi:type="dcterms:W3CDTF">2020-05-04T10:29:00Z</dcterms:created>
  <dcterms:modified xsi:type="dcterms:W3CDTF">2020-05-04T16:15:00Z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http://www.zotero.org/styles/the-journal-of-neuroscience</vt:lpwstr>
  </property>
  <property fmtid="{D5CDD505-2E9C-101B-9397-08002B2CF9AE}" pid="19" name="Mendeley Recent Style Name 8_1">
    <vt:lpwstr>The Journal of Neuroscience</vt:lpwstr>
  </property>
  <property fmtid="{D5CDD505-2E9C-101B-9397-08002B2CF9AE}" pid="20" name="Mendeley Recent Style Id 9_1">
    <vt:lpwstr>http://www.zotero.org/styles/elife</vt:lpwstr>
  </property>
  <property fmtid="{D5CDD505-2E9C-101B-9397-08002B2CF9AE}" pid="21" name="Mendeley Recent Style Name 9_1">
    <vt:lpwstr>eLife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e998b967-851a-34e2-8802-341480640fe3</vt:lpwstr>
  </property>
  <property fmtid="{D5CDD505-2E9C-101B-9397-08002B2CF9AE}" pid="24" name="Mendeley Citation Style_1">
    <vt:lpwstr>http://www.zotero.org/styles/the-journal-of-neuroscience</vt:lpwstr>
  </property>
</Properties>
</file>