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842"/>
        <w:gridCol w:w="1985"/>
        <w:gridCol w:w="1859"/>
      </w:tblGrid>
      <w:tr w:rsidR="005A2641" w:rsidRPr="00BD561F" w:rsidTr="00243C01">
        <w:tc>
          <w:tcPr>
            <w:tcW w:w="9622" w:type="dxa"/>
            <w:gridSpan w:val="5"/>
            <w:tcBorders>
              <w:bottom w:val="single" w:sz="4" w:space="0" w:color="auto"/>
            </w:tcBorders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BD561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Figure 5-1.</w:t>
            </w:r>
            <w:r w:rsidRPr="00BD561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Overview of clusters form the analysis investigating the prime/target x familiarity interaction obtained with separate or common baselines for prime and target, as well as peak-to-peak analysis.</w:t>
            </w:r>
          </w:p>
        </w:tc>
      </w:tr>
      <w:tr w:rsidR="005A2641" w:rsidRPr="00BD561F" w:rsidTr="00243C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Cluster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Analysis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Sensors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Time Range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p</w:t>
            </w:r>
            <w:proofErr w:type="gramEnd"/>
          </w:p>
        </w:tc>
      </w:tr>
      <w:tr w:rsidR="005A2641" w:rsidRPr="00BD561F" w:rsidTr="00243C01">
        <w:tc>
          <w:tcPr>
            <w:tcW w:w="96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Prime/Target x Familiarity Interaction</w:t>
            </w:r>
          </w:p>
        </w:tc>
      </w:tr>
      <w:tr w:rsidR="005A2641" w:rsidRPr="00BD561F" w:rsidTr="00243C01"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Separate baselines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left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frontal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0.3 to 0.48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0.0002</w:t>
            </w:r>
          </w:p>
        </w:tc>
      </w:tr>
      <w:tr w:rsidR="005A2641" w:rsidRPr="00BD561F" w:rsidTr="00243C01">
        <w:tc>
          <w:tcPr>
            <w:tcW w:w="1526" w:type="dxa"/>
            <w:vMerge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Common baseline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frontal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 to 0.48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</w:tr>
      <w:tr w:rsidR="005A2641" w:rsidRPr="00BD561F" w:rsidTr="00243C01">
        <w:tc>
          <w:tcPr>
            <w:tcW w:w="1526" w:type="dxa"/>
            <w:vMerge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Peak-to-peak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frontal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</w:tr>
      <w:tr w:rsidR="005A2641" w:rsidRPr="00BD561F" w:rsidTr="00243C01">
        <w:tc>
          <w:tcPr>
            <w:tcW w:w="1526" w:type="dxa"/>
            <w:vMerge w:val="restart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Separate baselines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right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frontal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0.4 to 0.44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0.0008</w:t>
            </w:r>
          </w:p>
        </w:tc>
      </w:tr>
      <w:tr w:rsidR="005A2641" w:rsidRPr="00BD561F" w:rsidTr="00243C01">
        <w:tc>
          <w:tcPr>
            <w:tcW w:w="1526" w:type="dxa"/>
            <w:vMerge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Common baseline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frontal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 to 0.46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0.0004</w:t>
            </w:r>
          </w:p>
        </w:tc>
      </w:tr>
      <w:tr w:rsidR="005A2641" w:rsidRPr="00BD561F" w:rsidTr="00243C01">
        <w:tc>
          <w:tcPr>
            <w:tcW w:w="1526" w:type="dxa"/>
            <w:vMerge w:val="restart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Separate baselines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left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occipital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0.3 to 0.33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0.0068</w:t>
            </w:r>
          </w:p>
        </w:tc>
      </w:tr>
      <w:tr w:rsidR="005A2641" w:rsidRPr="00BD561F" w:rsidTr="00243C01">
        <w:tc>
          <w:tcPr>
            <w:tcW w:w="1526" w:type="dxa"/>
            <w:vMerge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Peak-to-peak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left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occipital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</w:tr>
      <w:tr w:rsidR="005A2641" w:rsidRPr="00BD561F" w:rsidTr="00243C01">
        <w:tc>
          <w:tcPr>
            <w:tcW w:w="1526" w:type="dxa"/>
            <w:vMerge w:val="restart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4*</w:t>
            </w: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Separate baselines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left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central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0.27 to 0.29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0.033</w:t>
            </w:r>
          </w:p>
        </w:tc>
      </w:tr>
      <w:tr w:rsidR="005A2641" w:rsidRPr="00BD561F" w:rsidTr="00243C01">
        <w:tc>
          <w:tcPr>
            <w:tcW w:w="1526" w:type="dxa"/>
            <w:vMerge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Common baseline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central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 to 0.29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0.0032</w:t>
            </w:r>
          </w:p>
        </w:tc>
      </w:tr>
      <w:tr w:rsidR="005A2641" w:rsidRPr="00BD561F" w:rsidTr="00243C01">
        <w:tc>
          <w:tcPr>
            <w:tcW w:w="1526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Common baseline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central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 to 0.5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0.0054</w:t>
            </w:r>
          </w:p>
        </w:tc>
      </w:tr>
      <w:tr w:rsidR="005A2641" w:rsidRPr="00BD561F" w:rsidTr="00243C01">
        <w:tc>
          <w:tcPr>
            <w:tcW w:w="1526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Common baseline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frontal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0.35-0.38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0.014</w:t>
            </w:r>
          </w:p>
        </w:tc>
      </w:tr>
      <w:tr w:rsidR="005A2641" w:rsidRPr="00BD561F" w:rsidTr="00243C01">
        <w:tc>
          <w:tcPr>
            <w:tcW w:w="1526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Common baseline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central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0.32-0.34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0.021</w:t>
            </w:r>
          </w:p>
        </w:tc>
      </w:tr>
      <w:tr w:rsidR="005A2641" w:rsidRPr="00BD561F" w:rsidTr="00243C01">
        <w:tc>
          <w:tcPr>
            <w:tcW w:w="1526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Common baseline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frontal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0.01-0.02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0.031</w:t>
            </w:r>
          </w:p>
        </w:tc>
      </w:tr>
      <w:tr w:rsidR="005A2641" w:rsidRPr="00BD561F" w:rsidTr="00243C01">
        <w:tc>
          <w:tcPr>
            <w:tcW w:w="1526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Common baseline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central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0.04-0.05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0.042</w:t>
            </w:r>
          </w:p>
        </w:tc>
      </w:tr>
      <w:tr w:rsidR="005A2641" w:rsidRPr="00BD561F" w:rsidTr="00243C01">
        <w:tc>
          <w:tcPr>
            <w:tcW w:w="1526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Common baseline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central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0.43-0.45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0.042</w:t>
            </w:r>
          </w:p>
        </w:tc>
      </w:tr>
      <w:tr w:rsidR="005A2641" w:rsidRPr="00BD561F" w:rsidTr="00243C01">
        <w:tc>
          <w:tcPr>
            <w:tcW w:w="96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Main effect of familiarity</w:t>
            </w:r>
          </w:p>
        </w:tc>
      </w:tr>
      <w:tr w:rsidR="005A2641" w:rsidRPr="00BD561F" w:rsidTr="00243C01"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Separate baselines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left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occipital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0.29 to 0.38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0.0002</w:t>
            </w:r>
          </w:p>
        </w:tc>
      </w:tr>
      <w:tr w:rsidR="005A2641" w:rsidRPr="00BD561F" w:rsidTr="00243C01">
        <w:tc>
          <w:tcPr>
            <w:tcW w:w="1526" w:type="dxa"/>
            <w:vMerge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Common baseline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occipital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 to 0.34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0.0002</w:t>
            </w:r>
          </w:p>
        </w:tc>
      </w:tr>
      <w:tr w:rsidR="005A2641" w:rsidRPr="00BD561F" w:rsidTr="00243C01">
        <w:tc>
          <w:tcPr>
            <w:tcW w:w="1526" w:type="dxa"/>
            <w:vMerge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Peak-to-peak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occipital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</w:tr>
      <w:tr w:rsidR="005A2641" w:rsidRPr="00BD561F" w:rsidTr="00243C01">
        <w:tc>
          <w:tcPr>
            <w:tcW w:w="1526" w:type="dxa"/>
            <w:vMerge w:val="restart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Separate baselines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left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frontal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0.33 to 0.38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0.0002</w:t>
            </w:r>
          </w:p>
        </w:tc>
      </w:tr>
      <w:tr w:rsidR="005A2641" w:rsidRPr="00BD561F" w:rsidTr="00243C01">
        <w:tc>
          <w:tcPr>
            <w:tcW w:w="1526" w:type="dxa"/>
            <w:vMerge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Common baseline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frontal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 to 0.37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0.002</w:t>
            </w:r>
          </w:p>
        </w:tc>
      </w:tr>
      <w:tr w:rsidR="005A2641" w:rsidRPr="00BD561F" w:rsidTr="00243C01">
        <w:tc>
          <w:tcPr>
            <w:tcW w:w="1526" w:type="dxa"/>
            <w:vMerge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Peak-to-peak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frontal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</w:tr>
      <w:tr w:rsidR="005A2641" w:rsidRPr="00BD561F" w:rsidTr="00243C01">
        <w:tc>
          <w:tcPr>
            <w:tcW w:w="1526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Separate baselines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occipital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 to 0.48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</w:tr>
      <w:tr w:rsidR="005A2641" w:rsidRPr="00BD561F" w:rsidTr="00243C01">
        <w:tc>
          <w:tcPr>
            <w:tcW w:w="1526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Separate baselines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occipital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 to 0.6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</w:tr>
      <w:tr w:rsidR="005A2641" w:rsidRPr="00BD561F" w:rsidTr="00243C01">
        <w:tc>
          <w:tcPr>
            <w:tcW w:w="1526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Separate baselines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central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 to 0.57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</w:tr>
      <w:tr w:rsidR="005A2641" w:rsidRPr="00BD561F" w:rsidTr="00243C01">
        <w:tc>
          <w:tcPr>
            <w:tcW w:w="1526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Common baseline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posterior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central 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0.05 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</w:tr>
      <w:tr w:rsidR="005A2641" w:rsidRPr="00BD561F" w:rsidTr="00243C01">
        <w:tc>
          <w:tcPr>
            <w:tcW w:w="1526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Common baseline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temporal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-0.11 to -0.1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</w:tr>
      <w:tr w:rsidR="005A2641" w:rsidRPr="00BD561F" w:rsidTr="00243C01">
        <w:tc>
          <w:tcPr>
            <w:tcW w:w="96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Main effect of prime vs. target</w:t>
            </w:r>
          </w:p>
        </w:tc>
      </w:tr>
      <w:tr w:rsidR="005A2641" w:rsidRPr="00BD561F" w:rsidTr="00243C01"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Separate baselines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left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frontal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0.21 to 0.47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0.0002</w:t>
            </w:r>
          </w:p>
        </w:tc>
      </w:tr>
      <w:tr w:rsidR="005A2641" w:rsidRPr="00BD561F" w:rsidTr="00243C01">
        <w:tc>
          <w:tcPr>
            <w:tcW w:w="1526" w:type="dxa"/>
            <w:vMerge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Common baseline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frontal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 to 0.51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</w:tr>
      <w:tr w:rsidR="005A2641" w:rsidRPr="00BD561F" w:rsidTr="00243C01">
        <w:tc>
          <w:tcPr>
            <w:tcW w:w="1526" w:type="dxa"/>
            <w:vMerge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Peak-to-peak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bilateral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frontal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</w:tr>
      <w:tr w:rsidR="005A2641" w:rsidRPr="00BD561F" w:rsidTr="00243C01">
        <w:tc>
          <w:tcPr>
            <w:tcW w:w="1526" w:type="dxa"/>
            <w:vMerge w:val="restart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Separate baselines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right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frontal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0.26 to 0.59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0.0002</w:t>
            </w:r>
          </w:p>
        </w:tc>
      </w:tr>
      <w:tr w:rsidR="005A2641" w:rsidRPr="00BD561F" w:rsidTr="00243C01">
        <w:tc>
          <w:tcPr>
            <w:tcW w:w="1526" w:type="dxa"/>
            <w:vMerge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Common baseline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frontal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 to 0.61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</w:tr>
      <w:tr w:rsidR="005A2641" w:rsidRPr="00BD561F" w:rsidTr="00243C01">
        <w:tc>
          <w:tcPr>
            <w:tcW w:w="1526" w:type="dxa"/>
            <w:vMerge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Peak-to-peak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see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above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see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above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see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above</w:t>
            </w:r>
          </w:p>
        </w:tc>
      </w:tr>
      <w:tr w:rsidR="005A2641" w:rsidRPr="00BD561F" w:rsidTr="00243C01">
        <w:tc>
          <w:tcPr>
            <w:tcW w:w="1526" w:type="dxa"/>
            <w:vMerge w:val="restart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Separate baselines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left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occipital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0.1 to 0.14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0.001</w:t>
            </w:r>
          </w:p>
        </w:tc>
      </w:tr>
      <w:tr w:rsidR="005A2641" w:rsidRPr="00BD561F" w:rsidTr="00243C01">
        <w:tc>
          <w:tcPr>
            <w:tcW w:w="1526" w:type="dxa"/>
            <w:vMerge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Common baseline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occipital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 to 0.13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0.0076</w:t>
            </w:r>
          </w:p>
        </w:tc>
      </w:tr>
      <w:tr w:rsidR="005A2641" w:rsidRPr="00BD561F" w:rsidTr="00243C01">
        <w:tc>
          <w:tcPr>
            <w:tcW w:w="1526" w:type="dxa"/>
            <w:vMerge w:val="restart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Separate baselines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right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central / temporal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0.47 to 0.53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0.0002</w:t>
            </w:r>
          </w:p>
        </w:tc>
      </w:tr>
      <w:tr w:rsidR="005A2641" w:rsidRPr="00BD561F" w:rsidTr="00243C01">
        <w:tc>
          <w:tcPr>
            <w:tcW w:w="1526" w:type="dxa"/>
            <w:vMerge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Common baseline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central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 to 0.52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</w:tr>
      <w:tr w:rsidR="005A2641" w:rsidRPr="00BD561F" w:rsidTr="00243C01">
        <w:tc>
          <w:tcPr>
            <w:tcW w:w="1526" w:type="dxa"/>
            <w:vMerge w:val="restart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Separate baselines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right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central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0.38 to 0.42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0.0004</w:t>
            </w:r>
          </w:p>
        </w:tc>
      </w:tr>
      <w:tr w:rsidR="005A2641" w:rsidRPr="00BD561F" w:rsidTr="00243C01">
        <w:tc>
          <w:tcPr>
            <w:tcW w:w="1526" w:type="dxa"/>
            <w:vMerge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Common baseline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central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 to 0.42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0.0032</w:t>
            </w:r>
          </w:p>
        </w:tc>
      </w:tr>
      <w:tr w:rsidR="005A2641" w:rsidRPr="00BD561F" w:rsidTr="00243C01">
        <w:tc>
          <w:tcPr>
            <w:tcW w:w="1526" w:type="dxa"/>
            <w:vMerge w:val="restart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Separate baselines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left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temporal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0.38 to 0.42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0.0034</w:t>
            </w:r>
          </w:p>
        </w:tc>
      </w:tr>
      <w:tr w:rsidR="005A2641" w:rsidRPr="00BD561F" w:rsidTr="00243C01">
        <w:tc>
          <w:tcPr>
            <w:tcW w:w="1526" w:type="dxa"/>
            <w:vMerge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Common baseline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left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temporal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0.37 to 0.44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0.0008</w:t>
            </w:r>
          </w:p>
        </w:tc>
      </w:tr>
      <w:tr w:rsidR="005A2641" w:rsidRPr="00BD561F" w:rsidTr="00243C01">
        <w:tc>
          <w:tcPr>
            <w:tcW w:w="1526" w:type="dxa"/>
            <w:vMerge w:val="restart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Separate baselines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right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central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0.15 to 0.18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0.0038</w:t>
            </w:r>
          </w:p>
        </w:tc>
      </w:tr>
      <w:tr w:rsidR="005A2641" w:rsidRPr="00BD561F" w:rsidTr="00243C01">
        <w:tc>
          <w:tcPr>
            <w:tcW w:w="1526" w:type="dxa"/>
            <w:vMerge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Common baseline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central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0.15 to 0.18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0.0006</w:t>
            </w:r>
          </w:p>
        </w:tc>
      </w:tr>
      <w:tr w:rsidR="005A2641" w:rsidRPr="00BD561F" w:rsidTr="00243C01">
        <w:tc>
          <w:tcPr>
            <w:tcW w:w="1526" w:type="dxa"/>
            <w:vMerge w:val="restart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Separate baselines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left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occipital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0.59 to 0.69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0.0076</w:t>
            </w:r>
          </w:p>
        </w:tc>
      </w:tr>
      <w:tr w:rsidR="005A2641" w:rsidRPr="00BD561F" w:rsidTr="00243C01">
        <w:tc>
          <w:tcPr>
            <w:tcW w:w="1526" w:type="dxa"/>
            <w:vMerge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Common baseline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occipital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 to 0.7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0.0026</w:t>
            </w:r>
          </w:p>
        </w:tc>
      </w:tr>
      <w:tr w:rsidR="005A2641" w:rsidRPr="00BD561F" w:rsidTr="00243C01">
        <w:tc>
          <w:tcPr>
            <w:tcW w:w="1526" w:type="dxa"/>
            <w:vMerge w:val="restart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9*</w:t>
            </w: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Separate baselines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right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central/ frontal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0.08 to 0.17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0.0002</w:t>
            </w:r>
          </w:p>
        </w:tc>
      </w:tr>
      <w:tr w:rsidR="005A2641" w:rsidRPr="00BD561F" w:rsidTr="00243C01">
        <w:tc>
          <w:tcPr>
            <w:tcW w:w="1526" w:type="dxa"/>
            <w:vMerge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Common baseline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central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 to 0.11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</w:tr>
      <w:tr w:rsidR="005A2641" w:rsidRPr="00BD561F" w:rsidTr="00243C01">
        <w:tc>
          <w:tcPr>
            <w:tcW w:w="1526" w:type="dxa"/>
            <w:vMerge w:val="restart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10*</w:t>
            </w: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Separate baselines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occipital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 to 0.25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0.0072</w:t>
            </w:r>
          </w:p>
        </w:tc>
      </w:tr>
      <w:tr w:rsidR="005A2641" w:rsidRPr="00BD561F" w:rsidTr="00243C01">
        <w:tc>
          <w:tcPr>
            <w:tcW w:w="1526" w:type="dxa"/>
            <w:vMerge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Common baseline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occipital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 to 0.24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0.034</w:t>
            </w:r>
          </w:p>
        </w:tc>
      </w:tr>
      <w:tr w:rsidR="005A2641" w:rsidRPr="00BD561F" w:rsidTr="00243C01">
        <w:tc>
          <w:tcPr>
            <w:tcW w:w="1526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Separate baselines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central/ temporal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 to 0.13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0.0002</w:t>
            </w:r>
          </w:p>
        </w:tc>
      </w:tr>
      <w:tr w:rsidR="005A2641" w:rsidRPr="00BD561F" w:rsidTr="00243C01">
        <w:tc>
          <w:tcPr>
            <w:tcW w:w="1526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Separate baselines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occipital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 to 0.13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0.017</w:t>
            </w:r>
          </w:p>
        </w:tc>
      </w:tr>
      <w:tr w:rsidR="005A2641" w:rsidRPr="00BD561F" w:rsidTr="00243C01">
        <w:tc>
          <w:tcPr>
            <w:tcW w:w="1526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Separate baselines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central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 to 0.62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0.027</w:t>
            </w:r>
          </w:p>
        </w:tc>
      </w:tr>
      <w:tr w:rsidR="005A2641" w:rsidRPr="00BD561F" w:rsidTr="00243C01">
        <w:tc>
          <w:tcPr>
            <w:tcW w:w="1526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Common baseline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central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-0.11 to -0.04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0.001</w:t>
            </w:r>
          </w:p>
        </w:tc>
      </w:tr>
      <w:tr w:rsidR="005A2641" w:rsidRPr="00BD561F" w:rsidTr="00243C01">
        <w:tc>
          <w:tcPr>
            <w:tcW w:w="1526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Common baseline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central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 to 0.08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0.002</w:t>
            </w:r>
          </w:p>
        </w:tc>
      </w:tr>
      <w:tr w:rsidR="005A2641" w:rsidRPr="00BD561F" w:rsidTr="00243C01">
        <w:tc>
          <w:tcPr>
            <w:tcW w:w="1526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</w:t>
            </w: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Common baseline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central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 to -0.01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0.0038</w:t>
            </w:r>
          </w:p>
        </w:tc>
      </w:tr>
      <w:tr w:rsidR="005A2641" w:rsidRPr="00BD561F" w:rsidTr="00243C01">
        <w:tc>
          <w:tcPr>
            <w:tcW w:w="1526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</w:t>
            </w: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Common baseline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central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 to -0.02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0.030</w:t>
            </w:r>
          </w:p>
        </w:tc>
      </w:tr>
      <w:tr w:rsidR="005A2641" w:rsidRPr="00BD561F" w:rsidTr="00243C01">
        <w:tc>
          <w:tcPr>
            <w:tcW w:w="1526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  <w:tc>
          <w:tcPr>
            <w:tcW w:w="2410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Common baseline</w:t>
            </w:r>
          </w:p>
        </w:tc>
        <w:tc>
          <w:tcPr>
            <w:tcW w:w="1842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gramEnd"/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frontal</w:t>
            </w:r>
          </w:p>
        </w:tc>
        <w:tc>
          <w:tcPr>
            <w:tcW w:w="1985" w:type="dxa"/>
            <w:vAlign w:val="center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 to 0.66</w:t>
            </w:r>
          </w:p>
        </w:tc>
        <w:tc>
          <w:tcPr>
            <w:tcW w:w="1859" w:type="dxa"/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0.047</w:t>
            </w:r>
          </w:p>
        </w:tc>
      </w:tr>
      <w:tr w:rsidR="005A2641" w:rsidRPr="00BD561F" w:rsidTr="00243C01">
        <w:tc>
          <w:tcPr>
            <w:tcW w:w="9622" w:type="dxa"/>
            <w:gridSpan w:val="5"/>
            <w:tcBorders>
              <w:top w:val="single" w:sz="4" w:space="0" w:color="auto"/>
            </w:tcBorders>
          </w:tcPr>
          <w:p w:rsidR="005A2641" w:rsidRPr="00BD561F" w:rsidRDefault="005A264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5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D561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Note.</w:t>
            </w:r>
            <w:r w:rsidRPr="00BD561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Clusters found in both separate and common baseline </w:t>
            </w:r>
            <w:proofErr w:type="gramStart"/>
            <w:r w:rsidRPr="00BD561F">
              <w:rPr>
                <w:rFonts w:ascii="Times New Roman" w:hAnsi="Times New Roman" w:cs="Times New Roman"/>
                <w:color w:val="000000" w:themeColor="text1"/>
                <w:lang w:val="en-US"/>
              </w:rPr>
              <w:t>analysis presented in the results section are</w:t>
            </w:r>
            <w:proofErr w:type="gramEnd"/>
            <w:r w:rsidRPr="00BD561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marked in bold. Asterisks mark clusters that were significant in both analyses but not interpreted due to the short duration &lt; 30 </w:t>
            </w:r>
            <w:proofErr w:type="spellStart"/>
            <w:r w:rsidRPr="00BD561F">
              <w:rPr>
                <w:rFonts w:ascii="Times New Roman" w:hAnsi="Times New Roman" w:cs="Times New Roman"/>
                <w:color w:val="000000" w:themeColor="text1"/>
                <w:lang w:val="en-US"/>
              </w:rPr>
              <w:t>ms.</w:t>
            </w:r>
            <w:proofErr w:type="spellEnd"/>
            <w:r w:rsidRPr="00BD561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For peak-to-peak analysis, the time range row represents the peak latency averaged across all conditions and significant sensors. </w:t>
            </w:r>
            <w:proofErr w:type="gramStart"/>
            <w:r w:rsidRPr="00BD561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</w:t>
            </w:r>
            <w:proofErr w:type="gramEnd"/>
            <w:r w:rsidRPr="00BD561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refers to the multiple-comparison-corrected ratio of permuted cluster statistics larger than the cluster statistic of the original data.</w:t>
            </w:r>
          </w:p>
        </w:tc>
      </w:tr>
    </w:tbl>
    <w:p w:rsidR="00346A61" w:rsidRDefault="00346A61">
      <w:bookmarkStart w:id="0" w:name="_GoBack"/>
      <w:bookmarkEnd w:id="0"/>
    </w:p>
    <w:sectPr w:rsidR="00346A61" w:rsidSect="00346A6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41"/>
    <w:rsid w:val="00346A61"/>
    <w:rsid w:val="005A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D53D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2641"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A2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2641"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A2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3294</Characters>
  <Application>Microsoft Macintosh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Eisenhauer</dc:creator>
  <cp:keywords/>
  <dc:description/>
  <cp:lastModifiedBy>Susanne Eisenhauer</cp:lastModifiedBy>
  <cp:revision>1</cp:revision>
  <dcterms:created xsi:type="dcterms:W3CDTF">2019-04-06T15:12:00Z</dcterms:created>
  <dcterms:modified xsi:type="dcterms:W3CDTF">2019-04-06T15:12:00Z</dcterms:modified>
</cp:coreProperties>
</file>