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1D22" w14:textId="3A654CE5" w:rsidR="000A2132" w:rsidRPr="00C56767" w:rsidRDefault="000A2132" w:rsidP="000A2132">
      <w:pPr>
        <w:snapToGrid w:val="0"/>
        <w:spacing w:after="50"/>
        <w:rPr>
          <w:b/>
          <w:color w:val="000000" w:themeColor="text1"/>
          <w:sz w:val="22"/>
          <w:szCs w:val="22"/>
          <w:u w:val="single"/>
        </w:rPr>
      </w:pPr>
      <w:r w:rsidRPr="00C56767">
        <w:rPr>
          <w:b/>
          <w:color w:val="000000" w:themeColor="text1"/>
          <w:sz w:val="22"/>
          <w:szCs w:val="22"/>
          <w:u w:val="single"/>
        </w:rPr>
        <w:t xml:space="preserve">Extended </w:t>
      </w:r>
      <w:r w:rsidR="00BD3EAD">
        <w:rPr>
          <w:b/>
          <w:color w:val="000000" w:themeColor="text1"/>
          <w:sz w:val="22"/>
          <w:szCs w:val="22"/>
          <w:u w:val="single"/>
        </w:rPr>
        <w:t>Data Table</w:t>
      </w:r>
      <w:bookmarkStart w:id="0" w:name="_GoBack"/>
      <w:bookmarkEnd w:id="0"/>
    </w:p>
    <w:p w14:paraId="40626D08" w14:textId="77777777" w:rsidR="000A2132" w:rsidRPr="00C56767" w:rsidRDefault="000A2132" w:rsidP="000A2132">
      <w:pPr>
        <w:snapToGrid w:val="0"/>
        <w:rPr>
          <w:color w:val="000000" w:themeColor="text1"/>
          <w:sz w:val="22"/>
          <w:szCs w:val="22"/>
          <w:u w:val="single"/>
        </w:rPr>
      </w:pPr>
    </w:p>
    <w:p w14:paraId="1AFD90EB" w14:textId="2FAD5B7A" w:rsidR="000A2132" w:rsidRPr="00C56767" w:rsidRDefault="000A2132" w:rsidP="000A2132">
      <w:pPr>
        <w:snapToGrid w:val="0"/>
        <w:spacing w:after="50"/>
        <w:rPr>
          <w:b/>
          <w:color w:val="000000" w:themeColor="text1"/>
          <w:sz w:val="22"/>
          <w:szCs w:val="22"/>
          <w:lang w:eastAsia="ja-JP"/>
        </w:rPr>
      </w:pPr>
      <w:r w:rsidRPr="00C56767">
        <w:rPr>
          <w:b/>
          <w:color w:val="000000" w:themeColor="text1"/>
          <w:sz w:val="22"/>
          <w:szCs w:val="22"/>
          <w:lang w:eastAsia="ja-JP"/>
        </w:rPr>
        <w:t>Table 1</w:t>
      </w:r>
      <w:r w:rsidR="00BD3EAD">
        <w:rPr>
          <w:b/>
          <w:color w:val="000000" w:themeColor="text1"/>
          <w:sz w:val="22"/>
          <w:szCs w:val="22"/>
          <w:lang w:eastAsia="ja-JP"/>
        </w:rPr>
        <w:t>-1</w:t>
      </w:r>
      <w:r w:rsidRPr="00C56767">
        <w:rPr>
          <w:b/>
          <w:color w:val="000000" w:themeColor="text1"/>
          <w:sz w:val="22"/>
          <w:szCs w:val="22"/>
          <w:lang w:eastAsia="ja-JP"/>
        </w:rPr>
        <w:t>: Full profiles of the subgroups of healthy participants and participants with Parkinson’s disease (PD) in the fMRI experiment</w:t>
      </w:r>
    </w:p>
    <w:tbl>
      <w:tblPr>
        <w:tblW w:w="9039" w:type="dxa"/>
        <w:tblBorders>
          <w:top w:val="single" w:sz="8" w:space="0" w:color="7F7F7F" w:themeColor="text1" w:themeTint="80"/>
          <w:bottom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701"/>
        <w:gridCol w:w="1843"/>
      </w:tblGrid>
      <w:tr w:rsidR="000A2132" w:rsidRPr="00C56767" w14:paraId="27B1C295" w14:textId="77777777" w:rsidTr="00DE0F75">
        <w:tc>
          <w:tcPr>
            <w:tcW w:w="2235" w:type="dxa"/>
            <w:vMerge w:val="restart"/>
            <w:tcBorders>
              <w:top w:val="single" w:sz="12" w:space="0" w:color="7F7F7F" w:themeColor="text1" w:themeTint="80"/>
              <w:right w:val="single" w:sz="8" w:space="0" w:color="7F7F7F" w:themeColor="text1" w:themeTint="80"/>
            </w:tcBorders>
          </w:tcPr>
          <w:p w14:paraId="0CAD4604" w14:textId="77777777" w:rsidR="000A2132" w:rsidRPr="00C56767" w:rsidRDefault="000A2132" w:rsidP="00DE0F75">
            <w:pPr>
              <w:keepNext/>
              <w:snapToGrid w:val="0"/>
              <w:spacing w:before="240" w:after="50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6E63B53B" w14:textId="77777777" w:rsidR="000A2132" w:rsidRPr="00C56767" w:rsidRDefault="000A2132" w:rsidP="00DE0F75">
            <w:pPr>
              <w:snapToGrid w:val="0"/>
              <w:spacing w:after="50"/>
              <w:jc w:val="center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Healthy adults (n = 38)</w:t>
            </w:r>
          </w:p>
        </w:tc>
        <w:tc>
          <w:tcPr>
            <w:tcW w:w="1701" w:type="dxa"/>
            <w:vMerge w:val="restart"/>
            <w:tcBorders>
              <w:top w:val="single" w:sz="12" w:space="0" w:color="7F7F7F" w:themeColor="text1" w:themeTint="80"/>
            </w:tcBorders>
          </w:tcPr>
          <w:p w14:paraId="022C97F7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Participants with PD (n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15)</w:t>
            </w:r>
          </w:p>
        </w:tc>
        <w:tc>
          <w:tcPr>
            <w:tcW w:w="1843" w:type="dxa"/>
            <w:vMerge w:val="restart"/>
            <w:tcBorders>
              <w:top w:val="single" w:sz="12" w:space="0" w:color="7F7F7F" w:themeColor="text1" w:themeTint="80"/>
            </w:tcBorders>
          </w:tcPr>
          <w:p w14:paraId="03CE9834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Statistics (senior control vs. PD)</w:t>
            </w:r>
          </w:p>
        </w:tc>
      </w:tr>
      <w:tr w:rsidR="000A2132" w:rsidRPr="00C56767" w14:paraId="3E2CD735" w14:textId="77777777" w:rsidTr="00DE0F75">
        <w:tc>
          <w:tcPr>
            <w:tcW w:w="2235" w:type="dxa"/>
            <w:vMerge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982A7BB" w14:textId="77777777" w:rsidR="000A2132" w:rsidRPr="00C56767" w:rsidRDefault="000A2132" w:rsidP="00DE0F75">
            <w:pPr>
              <w:keepNext/>
              <w:snapToGrid w:val="0"/>
              <w:spacing w:before="240" w:after="50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5469AB2E" w14:textId="77777777" w:rsidR="000A2132" w:rsidRPr="00C56767" w:rsidRDefault="000A2132" w:rsidP="00DE0F7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Non-senior (n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20)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74D8D7A1" w14:textId="77777777" w:rsidR="000A2132" w:rsidRPr="00C56767" w:rsidRDefault="000A2132" w:rsidP="00DE0F7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Senior control for PD (n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18)</w:t>
            </w:r>
          </w:p>
        </w:tc>
        <w:tc>
          <w:tcPr>
            <w:tcW w:w="1701" w:type="dxa"/>
            <w:vMerge/>
            <w:tcBorders>
              <w:bottom w:val="single" w:sz="8" w:space="0" w:color="7F7F7F" w:themeColor="text1" w:themeTint="80"/>
            </w:tcBorders>
          </w:tcPr>
          <w:p w14:paraId="3DD5261D" w14:textId="77777777" w:rsidR="000A2132" w:rsidRPr="00C56767" w:rsidRDefault="000A2132" w:rsidP="00DE0F75">
            <w:pPr>
              <w:keepNext/>
              <w:snapToGrid w:val="0"/>
              <w:spacing w:before="240" w:after="50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8" w:space="0" w:color="7F7F7F" w:themeColor="text1" w:themeTint="80"/>
            </w:tcBorders>
          </w:tcPr>
          <w:p w14:paraId="3523EC4B" w14:textId="77777777" w:rsidR="000A2132" w:rsidRPr="00C56767" w:rsidRDefault="000A2132" w:rsidP="00DE0F75">
            <w:pPr>
              <w:keepNext/>
              <w:snapToGrid w:val="0"/>
              <w:spacing w:before="240" w:after="50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0A2132" w:rsidRPr="00C56767" w14:paraId="4D98CDE3" w14:textId="77777777" w:rsidTr="00DE0F75">
        <w:tc>
          <w:tcPr>
            <w:tcW w:w="2235" w:type="dxa"/>
            <w:tcBorders>
              <w:top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</w:tcPr>
          <w:p w14:paraId="5948DD8D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>A</w:t>
            </w:r>
            <w:r w:rsidRPr="00C56767">
              <w:rPr>
                <w:color w:val="000000" w:themeColor="text1"/>
                <w:sz w:val="18"/>
                <w:szCs w:val="18"/>
              </w:rPr>
              <w:t>ge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(mean</w:t>
            </w:r>
            <w:r w:rsidRPr="00C56767">
              <w:rPr>
                <w:color w:val="000000" w:themeColor="text1"/>
                <w:sz w:val="18"/>
                <w:szCs w:val="18"/>
              </w:rPr>
              <w:t>±s.d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>) yrs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</w:tcBorders>
          </w:tcPr>
          <w:p w14:paraId="5B684722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29.6±8.6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bottom w:val="nil"/>
            </w:tcBorders>
          </w:tcPr>
          <w:p w14:paraId="4A7DC62F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62.2±8.2</w:t>
            </w:r>
          </w:p>
        </w:tc>
        <w:tc>
          <w:tcPr>
            <w:tcW w:w="1701" w:type="dxa"/>
            <w:tcBorders>
              <w:top w:val="single" w:sz="8" w:space="0" w:color="7F7F7F" w:themeColor="text1" w:themeTint="80"/>
              <w:bottom w:val="nil"/>
            </w:tcBorders>
          </w:tcPr>
          <w:p w14:paraId="5628C2F4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64.1±9.8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bottom w:val="nil"/>
            </w:tcBorders>
          </w:tcPr>
          <w:p w14:paraId="74CBE839" w14:textId="3DB31B8F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i/>
                <w:color w:val="000000" w:themeColor="text1"/>
                <w:sz w:val="18"/>
                <w:szCs w:val="18"/>
              </w:rPr>
              <w:t>T</w:t>
            </w:r>
            <w:r w:rsidR="00652761" w:rsidRPr="00653CC8">
              <w:rPr>
                <w:i/>
                <w:color w:val="000000" w:themeColor="text1"/>
                <w:sz w:val="18"/>
                <w:szCs w:val="18"/>
                <w:vertAlign w:val="subscript"/>
              </w:rPr>
              <w:t>(3</w:t>
            </w:r>
            <w:r w:rsidR="00652761">
              <w:rPr>
                <w:i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="00652761" w:rsidRPr="00653CC8">
              <w:rPr>
                <w:i/>
                <w:color w:val="000000" w:themeColor="text1"/>
                <w:sz w:val="18"/>
                <w:szCs w:val="18"/>
                <w:vertAlign w:val="subscript"/>
              </w:rPr>
              <w:t>)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 xml:space="preserve">0.59, </w:t>
            </w:r>
            <w:r w:rsidRPr="00C56767">
              <w:rPr>
                <w:i/>
                <w:color w:val="000000" w:themeColor="text1"/>
                <w:sz w:val="18"/>
                <w:szCs w:val="18"/>
              </w:rPr>
              <w:t>P</w:t>
            </w:r>
            <w:r w:rsidRPr="00C56767">
              <w:rPr>
                <w:i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0.56</w:t>
            </w:r>
            <w:r w:rsidRPr="00C56767">
              <w:rPr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</w:tr>
      <w:tr w:rsidR="000A2132" w:rsidRPr="00C56767" w14:paraId="7A54470E" w14:textId="77777777" w:rsidTr="00DE0F75">
        <w:tc>
          <w:tcPr>
            <w:tcW w:w="2235" w:type="dxa"/>
            <w:tcBorders>
              <w:top w:val="nil"/>
              <w:right w:val="single" w:sz="8" w:space="0" w:color="7F7F7F" w:themeColor="text1" w:themeTint="80"/>
            </w:tcBorders>
          </w:tcPr>
          <w:p w14:paraId="7A1F6EFA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Male:Female</w:t>
            </w:r>
          </w:p>
        </w:tc>
        <w:tc>
          <w:tcPr>
            <w:tcW w:w="1701" w:type="dxa"/>
            <w:tcBorders>
              <w:top w:val="nil"/>
              <w:left w:val="single" w:sz="8" w:space="0" w:color="7F7F7F" w:themeColor="text1" w:themeTint="80"/>
            </w:tcBorders>
          </w:tcPr>
          <w:p w14:paraId="22F17425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11:9</w:t>
            </w:r>
          </w:p>
        </w:tc>
        <w:tc>
          <w:tcPr>
            <w:tcW w:w="1559" w:type="dxa"/>
            <w:tcBorders>
              <w:top w:val="nil"/>
            </w:tcBorders>
          </w:tcPr>
          <w:p w14:paraId="240164B8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10:8</w:t>
            </w:r>
          </w:p>
        </w:tc>
        <w:tc>
          <w:tcPr>
            <w:tcW w:w="1701" w:type="dxa"/>
            <w:tcBorders>
              <w:top w:val="nil"/>
            </w:tcBorders>
          </w:tcPr>
          <w:p w14:paraId="64819FF0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9:6</w:t>
            </w:r>
          </w:p>
        </w:tc>
        <w:tc>
          <w:tcPr>
            <w:tcW w:w="1843" w:type="dxa"/>
            <w:tcBorders>
              <w:top w:val="nil"/>
            </w:tcBorders>
          </w:tcPr>
          <w:p w14:paraId="5BE1A3C3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rFonts w:hint="eastAsia"/>
                <w:color w:val="000000" w:themeColor="text1"/>
                <w:sz w:val="18"/>
                <w:szCs w:val="18"/>
              </w:rPr>
              <w:t>χ</w:t>
            </w:r>
            <w:r w:rsidRPr="00C56767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 xml:space="preserve">1.06, </w:t>
            </w:r>
            <w:r w:rsidRPr="00C56767">
              <w:rPr>
                <w:i/>
                <w:color w:val="000000" w:themeColor="text1"/>
                <w:sz w:val="18"/>
                <w:szCs w:val="18"/>
              </w:rPr>
              <w:t>P</w:t>
            </w:r>
            <w:r w:rsidRPr="00C56767">
              <w:rPr>
                <w:i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=0.79</w:t>
            </w:r>
            <w:r w:rsidRPr="00C56767">
              <w:rPr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</w:tr>
      <w:tr w:rsidR="000A2132" w:rsidRPr="00C56767" w14:paraId="3C1C4334" w14:textId="77777777" w:rsidTr="00DE0F75">
        <w:tc>
          <w:tcPr>
            <w:tcW w:w="2235" w:type="dxa"/>
            <w:tcBorders>
              <w:right w:val="single" w:sz="8" w:space="0" w:color="7F7F7F" w:themeColor="text1" w:themeTint="80"/>
            </w:tcBorders>
          </w:tcPr>
          <w:p w14:paraId="0E36CE6A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EHI (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>mean</w:t>
            </w:r>
            <w:r w:rsidRPr="00C56767">
              <w:rPr>
                <w:color w:val="000000" w:themeColor="text1"/>
                <w:sz w:val="18"/>
                <w:szCs w:val="18"/>
              </w:rPr>
              <w:t>±s.d.)</w:t>
            </w:r>
          </w:p>
        </w:tc>
        <w:tc>
          <w:tcPr>
            <w:tcW w:w="1701" w:type="dxa"/>
            <w:tcBorders>
              <w:left w:val="single" w:sz="8" w:space="0" w:color="7F7F7F" w:themeColor="text1" w:themeTint="80"/>
            </w:tcBorders>
          </w:tcPr>
          <w:p w14:paraId="67996264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0.9±0.1</w:t>
            </w:r>
          </w:p>
        </w:tc>
        <w:tc>
          <w:tcPr>
            <w:tcW w:w="1559" w:type="dxa"/>
          </w:tcPr>
          <w:p w14:paraId="026084C7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0.91±0.015</w:t>
            </w:r>
          </w:p>
        </w:tc>
        <w:tc>
          <w:tcPr>
            <w:tcW w:w="1701" w:type="dxa"/>
          </w:tcPr>
          <w:p w14:paraId="4BD26FBA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0.93±0.20</w:t>
            </w:r>
          </w:p>
        </w:tc>
        <w:tc>
          <w:tcPr>
            <w:tcW w:w="1843" w:type="dxa"/>
          </w:tcPr>
          <w:p w14:paraId="63151D92" w14:textId="30EE1E6C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i/>
                <w:color w:val="000000" w:themeColor="text1"/>
                <w:sz w:val="18"/>
                <w:szCs w:val="18"/>
              </w:rPr>
              <w:t>T</w:t>
            </w:r>
            <w:r w:rsidR="00652761" w:rsidRPr="00653CC8">
              <w:rPr>
                <w:i/>
                <w:color w:val="000000" w:themeColor="text1"/>
                <w:sz w:val="18"/>
                <w:szCs w:val="18"/>
                <w:vertAlign w:val="subscript"/>
              </w:rPr>
              <w:t>(3</w:t>
            </w:r>
            <w:r w:rsidR="00652761">
              <w:rPr>
                <w:i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="00652761" w:rsidRPr="00653CC8">
              <w:rPr>
                <w:i/>
                <w:color w:val="000000" w:themeColor="text1"/>
                <w:sz w:val="18"/>
                <w:szCs w:val="18"/>
                <w:vertAlign w:val="subscript"/>
              </w:rPr>
              <w:t>)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 xml:space="preserve">0.36, </w:t>
            </w:r>
            <w:r w:rsidRPr="00C56767">
              <w:rPr>
                <w:i/>
                <w:color w:val="000000" w:themeColor="text1"/>
                <w:sz w:val="18"/>
                <w:szCs w:val="18"/>
              </w:rPr>
              <w:t>P</w:t>
            </w:r>
            <w:r w:rsidRPr="00C56767">
              <w:rPr>
                <w:i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0.72</w:t>
            </w:r>
            <w:r w:rsidRPr="00C56767">
              <w:rPr>
                <w:color w:val="000000" w:themeColor="text1"/>
                <w:sz w:val="18"/>
                <w:szCs w:val="18"/>
                <w:vertAlign w:val="superscript"/>
              </w:rPr>
              <w:t xml:space="preserve">† </w:t>
            </w:r>
          </w:p>
        </w:tc>
      </w:tr>
      <w:tr w:rsidR="000A2132" w:rsidRPr="00C56767" w14:paraId="3DEC7792" w14:textId="77777777" w:rsidTr="00DE0F75">
        <w:tc>
          <w:tcPr>
            <w:tcW w:w="2235" w:type="dxa"/>
            <w:tcBorders>
              <w:right w:val="single" w:sz="8" w:space="0" w:color="7F7F7F" w:themeColor="text1" w:themeTint="80"/>
            </w:tcBorders>
          </w:tcPr>
          <w:p w14:paraId="234B0193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Education (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>mean</w:t>
            </w:r>
            <w:r w:rsidRPr="00C56767">
              <w:rPr>
                <w:color w:val="000000" w:themeColor="text1"/>
                <w:sz w:val="18"/>
                <w:szCs w:val="18"/>
              </w:rPr>
              <w:t>±s.d.) yrs</w:t>
            </w:r>
          </w:p>
        </w:tc>
        <w:tc>
          <w:tcPr>
            <w:tcW w:w="1701" w:type="dxa"/>
            <w:tcBorders>
              <w:left w:val="single" w:sz="8" w:space="0" w:color="7F7F7F" w:themeColor="text1" w:themeTint="80"/>
            </w:tcBorders>
          </w:tcPr>
          <w:p w14:paraId="0F883C85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15.9±4.0</w:t>
            </w:r>
          </w:p>
        </w:tc>
        <w:tc>
          <w:tcPr>
            <w:tcW w:w="1559" w:type="dxa"/>
          </w:tcPr>
          <w:p w14:paraId="7886852B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16.5±3.0</w:t>
            </w:r>
          </w:p>
        </w:tc>
        <w:tc>
          <w:tcPr>
            <w:tcW w:w="1701" w:type="dxa"/>
          </w:tcPr>
          <w:p w14:paraId="5BAFAE11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18.3±2.7</w:t>
            </w:r>
          </w:p>
        </w:tc>
        <w:tc>
          <w:tcPr>
            <w:tcW w:w="1843" w:type="dxa"/>
          </w:tcPr>
          <w:p w14:paraId="7DB5AE4B" w14:textId="04439D1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i/>
                <w:color w:val="000000" w:themeColor="text1"/>
                <w:sz w:val="18"/>
                <w:szCs w:val="18"/>
              </w:rPr>
              <w:t>T</w:t>
            </w:r>
            <w:r w:rsidR="00652761" w:rsidRPr="00653CC8">
              <w:rPr>
                <w:i/>
                <w:color w:val="000000" w:themeColor="text1"/>
                <w:sz w:val="18"/>
                <w:szCs w:val="18"/>
                <w:vertAlign w:val="subscript"/>
              </w:rPr>
              <w:t>(3</w:t>
            </w:r>
            <w:r w:rsidR="00652761">
              <w:rPr>
                <w:i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="00652761" w:rsidRPr="00653CC8">
              <w:rPr>
                <w:i/>
                <w:color w:val="000000" w:themeColor="text1"/>
                <w:sz w:val="18"/>
                <w:szCs w:val="18"/>
                <w:vertAlign w:val="subscript"/>
              </w:rPr>
              <w:t>)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 xml:space="preserve">1.7, </w:t>
            </w:r>
            <w:r w:rsidRPr="00C56767">
              <w:rPr>
                <w:i/>
                <w:color w:val="000000" w:themeColor="text1"/>
                <w:sz w:val="18"/>
                <w:szCs w:val="18"/>
              </w:rPr>
              <w:t>P</w:t>
            </w:r>
            <w:r w:rsidRPr="00C56767">
              <w:rPr>
                <w:i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0.09</w:t>
            </w:r>
            <w:r w:rsidRPr="00C56767">
              <w:rPr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</w:tr>
      <w:tr w:rsidR="000A2132" w:rsidRPr="00C56767" w14:paraId="76B88CC8" w14:textId="77777777" w:rsidTr="00DE0F75">
        <w:tc>
          <w:tcPr>
            <w:tcW w:w="2235" w:type="dxa"/>
            <w:tcBorders>
              <w:right w:val="single" w:sz="8" w:space="0" w:color="7F7F7F" w:themeColor="text1" w:themeTint="80"/>
            </w:tcBorders>
          </w:tcPr>
          <w:p w14:paraId="33B3ED7D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 xml:space="preserve">MMSE 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>(mean</w:t>
            </w:r>
            <w:r w:rsidRPr="00C56767">
              <w:rPr>
                <w:color w:val="000000" w:themeColor="text1"/>
                <w:sz w:val="18"/>
                <w:szCs w:val="18"/>
              </w:rPr>
              <w:t>±s.d.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701" w:type="dxa"/>
            <w:tcBorders>
              <w:left w:val="single" w:sz="8" w:space="0" w:color="7F7F7F" w:themeColor="text1" w:themeTint="80"/>
            </w:tcBorders>
          </w:tcPr>
          <w:p w14:paraId="18AA98E6" w14:textId="77777777" w:rsidR="000A2132" w:rsidRPr="00C56767" w:rsidRDefault="000A2132" w:rsidP="00DE0F75">
            <w:pPr>
              <w:snapToGrid w:val="0"/>
              <w:spacing w:after="50"/>
              <w:jc w:val="both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ja-JP" w:bidi="he-IL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29.7±0.5</w:t>
            </w:r>
          </w:p>
        </w:tc>
        <w:tc>
          <w:tcPr>
            <w:tcW w:w="1559" w:type="dxa"/>
          </w:tcPr>
          <w:p w14:paraId="63B863C7" w14:textId="77777777" w:rsidR="000A2132" w:rsidRPr="00C56767" w:rsidRDefault="000A2132" w:rsidP="00DE0F75">
            <w:pPr>
              <w:snapToGrid w:val="0"/>
              <w:spacing w:after="50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ja-JP" w:bidi="he-IL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29.5±0.8</w:t>
            </w:r>
          </w:p>
        </w:tc>
        <w:tc>
          <w:tcPr>
            <w:tcW w:w="1701" w:type="dxa"/>
          </w:tcPr>
          <w:p w14:paraId="33D8BA49" w14:textId="77777777" w:rsidR="000A2132" w:rsidRPr="00C56767" w:rsidRDefault="000A2132" w:rsidP="00DE0F75">
            <w:pPr>
              <w:snapToGrid w:val="0"/>
              <w:spacing w:after="50"/>
              <w:jc w:val="both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ja-JP" w:bidi="he-IL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29.5±0.7</w:t>
            </w:r>
          </w:p>
        </w:tc>
        <w:tc>
          <w:tcPr>
            <w:tcW w:w="1843" w:type="dxa"/>
          </w:tcPr>
          <w:p w14:paraId="1C6F5910" w14:textId="3A11EF60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i/>
                <w:color w:val="000000" w:themeColor="text1"/>
                <w:sz w:val="18"/>
                <w:szCs w:val="18"/>
              </w:rPr>
              <w:t>T</w:t>
            </w:r>
            <w:r w:rsidR="00652761" w:rsidRPr="00653CC8">
              <w:rPr>
                <w:i/>
                <w:color w:val="000000" w:themeColor="text1"/>
                <w:sz w:val="18"/>
                <w:szCs w:val="18"/>
                <w:vertAlign w:val="subscript"/>
              </w:rPr>
              <w:t>(3</w:t>
            </w:r>
            <w:r w:rsidR="00652761">
              <w:rPr>
                <w:i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="00652761" w:rsidRPr="00653CC8">
              <w:rPr>
                <w:i/>
                <w:color w:val="000000" w:themeColor="text1"/>
                <w:sz w:val="18"/>
                <w:szCs w:val="18"/>
                <w:vertAlign w:val="subscript"/>
              </w:rPr>
              <w:t>)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 xml:space="preserve">0.12, </w:t>
            </w:r>
            <w:r w:rsidRPr="00C56767">
              <w:rPr>
                <w:i/>
                <w:color w:val="000000" w:themeColor="text1"/>
                <w:sz w:val="18"/>
                <w:szCs w:val="18"/>
              </w:rPr>
              <w:t>P</w:t>
            </w:r>
            <w:r w:rsidRPr="00C56767">
              <w:rPr>
                <w:i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0.90</w:t>
            </w:r>
            <w:r w:rsidRPr="00C56767">
              <w:rPr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</w:tr>
      <w:tr w:rsidR="000A2132" w:rsidRPr="00C56767" w14:paraId="168243B5" w14:textId="77777777" w:rsidTr="00DE0F75">
        <w:trPr>
          <w:trHeight w:val="306"/>
        </w:trPr>
        <w:tc>
          <w:tcPr>
            <w:tcW w:w="2235" w:type="dxa"/>
            <w:tcBorders>
              <w:right w:val="single" w:sz="8" w:space="0" w:color="7F7F7F" w:themeColor="text1" w:themeTint="80"/>
            </w:tcBorders>
          </w:tcPr>
          <w:p w14:paraId="20FDC9EC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 xml:space="preserve">Experience </w:t>
            </w:r>
          </w:p>
        </w:tc>
        <w:tc>
          <w:tcPr>
            <w:tcW w:w="1701" w:type="dxa"/>
            <w:tcBorders>
              <w:left w:val="single" w:sz="8" w:space="0" w:color="7F7F7F" w:themeColor="text1" w:themeTint="80"/>
            </w:tcBorders>
          </w:tcPr>
          <w:p w14:paraId="4338208D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5B459571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1782F030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9</w:t>
            </w:r>
            <w:r w:rsidRPr="00C56767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14:paraId="154516A4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rFonts w:hint="eastAsia"/>
                <w:color w:val="000000" w:themeColor="text1"/>
                <w:sz w:val="18"/>
                <w:szCs w:val="18"/>
              </w:rPr>
              <w:t>χ</w:t>
            </w:r>
            <w:r w:rsidRPr="00C56767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 xml:space="preserve">3.0, </w:t>
            </w:r>
            <w:r w:rsidRPr="00C56767">
              <w:rPr>
                <w:i/>
                <w:color w:val="000000" w:themeColor="text1"/>
                <w:sz w:val="18"/>
                <w:szCs w:val="18"/>
              </w:rPr>
              <w:t>P</w:t>
            </w:r>
            <w:r w:rsidRPr="00C56767">
              <w:rPr>
                <w:i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=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0.39</w:t>
            </w:r>
            <w:r w:rsidRPr="00C56767">
              <w:rPr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</w:tr>
      <w:tr w:rsidR="000A2132" w:rsidRPr="00C56767" w14:paraId="1777A3D6" w14:textId="77777777" w:rsidTr="00DE0F75">
        <w:tc>
          <w:tcPr>
            <w:tcW w:w="2235" w:type="dxa"/>
            <w:tcBorders>
              <w:right w:val="single" w:sz="8" w:space="0" w:color="7F7F7F" w:themeColor="text1" w:themeTint="80"/>
            </w:tcBorders>
          </w:tcPr>
          <w:p w14:paraId="1E6C3E17" w14:textId="77777777" w:rsidR="000A2132" w:rsidRPr="00C56767" w:rsidRDefault="000A2132" w:rsidP="00DE0F75">
            <w:pPr>
              <w:snapToGrid w:val="0"/>
              <w:spacing w:before="120" w:after="5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Hoehn-Yahr scale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(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>mean</w:t>
            </w:r>
            <w:r w:rsidRPr="00C56767">
              <w:rPr>
                <w:color w:val="000000" w:themeColor="text1"/>
                <w:sz w:val="18"/>
                <w:szCs w:val="18"/>
              </w:rPr>
              <w:t>±s.d.)</w:t>
            </w:r>
          </w:p>
        </w:tc>
        <w:tc>
          <w:tcPr>
            <w:tcW w:w="1701" w:type="dxa"/>
            <w:tcBorders>
              <w:left w:val="single" w:sz="8" w:space="0" w:color="7F7F7F" w:themeColor="text1" w:themeTint="80"/>
            </w:tcBorders>
          </w:tcPr>
          <w:p w14:paraId="3996A8D6" w14:textId="77777777" w:rsidR="000A2132" w:rsidRPr="00C56767" w:rsidRDefault="000A2132" w:rsidP="00DE0F75">
            <w:pPr>
              <w:snapToGrid w:val="0"/>
              <w:spacing w:before="120"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559" w:type="dxa"/>
          </w:tcPr>
          <w:p w14:paraId="63D7E139" w14:textId="77777777" w:rsidR="000A2132" w:rsidRPr="00C56767" w:rsidRDefault="000A2132" w:rsidP="00DE0F75">
            <w:pPr>
              <w:snapToGrid w:val="0"/>
              <w:spacing w:before="120"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701" w:type="dxa"/>
          </w:tcPr>
          <w:p w14:paraId="6BE82C7C" w14:textId="77777777" w:rsidR="000A2132" w:rsidRPr="00C56767" w:rsidRDefault="000A2132" w:rsidP="00DE0F75">
            <w:pPr>
              <w:snapToGrid w:val="0"/>
              <w:spacing w:before="120" w:after="5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2.0±0.4</w:t>
            </w:r>
          </w:p>
        </w:tc>
        <w:tc>
          <w:tcPr>
            <w:tcW w:w="1843" w:type="dxa"/>
          </w:tcPr>
          <w:p w14:paraId="44FF76A6" w14:textId="77777777" w:rsidR="000A2132" w:rsidRPr="00C56767" w:rsidRDefault="000A2132" w:rsidP="00DE0F75">
            <w:pPr>
              <w:keepNext/>
              <w:snapToGrid w:val="0"/>
              <w:spacing w:before="120"/>
              <w:outlineLvl w:val="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NA</w:t>
            </w:r>
          </w:p>
        </w:tc>
      </w:tr>
      <w:tr w:rsidR="000A2132" w:rsidRPr="00C56767" w14:paraId="29FD0BF5" w14:textId="77777777" w:rsidTr="00DE0F75">
        <w:tc>
          <w:tcPr>
            <w:tcW w:w="2235" w:type="dxa"/>
            <w:tcBorders>
              <w:bottom w:val="nil"/>
              <w:right w:val="single" w:sz="8" w:space="0" w:color="7F7F7F" w:themeColor="text1" w:themeTint="80"/>
            </w:tcBorders>
          </w:tcPr>
          <w:p w14:paraId="63D500F0" w14:textId="4463D6E1" w:rsidR="000A2132" w:rsidRPr="00C56767" w:rsidRDefault="000A2132" w:rsidP="00DE0F75">
            <w:pPr>
              <w:snapToGrid w:val="0"/>
              <w:spacing w:before="120"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 xml:space="preserve">UPDRS </w:t>
            </w:r>
            <w:r w:rsidR="001B4CB5" w:rsidRPr="00733E6F">
              <w:rPr>
                <w:color w:val="FF0000"/>
                <w:sz w:val="18"/>
                <w:szCs w:val="18"/>
              </w:rPr>
              <w:t>motor/bradykinesia subscale</w:t>
            </w:r>
            <w:r w:rsidRPr="00C56767">
              <w:rPr>
                <w:color w:val="000000" w:themeColor="text1"/>
                <w:sz w:val="18"/>
                <w:szCs w:val="18"/>
              </w:rPr>
              <w:t xml:space="preserve"> (off-medication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>; mean</w:t>
            </w:r>
            <w:r w:rsidRPr="00C56767">
              <w:rPr>
                <w:color w:val="000000" w:themeColor="text1"/>
                <w:sz w:val="18"/>
                <w:szCs w:val="18"/>
              </w:rPr>
              <w:t>±s.d.)</w:t>
            </w:r>
          </w:p>
        </w:tc>
        <w:tc>
          <w:tcPr>
            <w:tcW w:w="1701" w:type="dxa"/>
            <w:tcBorders>
              <w:left w:val="single" w:sz="8" w:space="0" w:color="7F7F7F" w:themeColor="text1" w:themeTint="80"/>
              <w:bottom w:val="nil"/>
            </w:tcBorders>
          </w:tcPr>
          <w:p w14:paraId="7D91D9DD" w14:textId="77777777" w:rsidR="000A2132" w:rsidRPr="00C56767" w:rsidRDefault="000A2132" w:rsidP="00DE0F75">
            <w:pPr>
              <w:snapToGrid w:val="0"/>
              <w:spacing w:before="120" w:after="5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559" w:type="dxa"/>
            <w:tcBorders>
              <w:bottom w:val="nil"/>
            </w:tcBorders>
          </w:tcPr>
          <w:p w14:paraId="5F5FFBF4" w14:textId="77777777" w:rsidR="000A2132" w:rsidRPr="00C56767" w:rsidRDefault="000A2132" w:rsidP="00DE0F75">
            <w:pPr>
              <w:snapToGrid w:val="0"/>
              <w:spacing w:before="120"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701" w:type="dxa"/>
            <w:tcBorders>
              <w:bottom w:val="nil"/>
            </w:tcBorders>
          </w:tcPr>
          <w:p w14:paraId="0051A579" w14:textId="589B33A9" w:rsidR="000A2132" w:rsidRPr="00C56767" w:rsidRDefault="000A2132" w:rsidP="00DE0F75">
            <w:pPr>
              <w:snapToGrid w:val="0"/>
              <w:spacing w:before="120" w:after="50"/>
              <w:rPr>
                <w:color w:val="000000" w:themeColor="text1"/>
                <w:sz w:val="18"/>
                <w:szCs w:val="18"/>
              </w:rPr>
            </w:pPr>
            <w:r w:rsidRPr="007B0159">
              <w:rPr>
                <w:color w:val="FF0000"/>
                <w:sz w:val="18"/>
                <w:szCs w:val="18"/>
              </w:rPr>
              <w:t>14.9±8.0</w:t>
            </w:r>
            <w:r w:rsidR="00513274" w:rsidRPr="007B0159">
              <w:rPr>
                <w:color w:val="FF0000"/>
                <w:sz w:val="18"/>
                <w:szCs w:val="18"/>
              </w:rPr>
              <w:t>/6.6±4.2</w:t>
            </w:r>
          </w:p>
        </w:tc>
        <w:tc>
          <w:tcPr>
            <w:tcW w:w="1843" w:type="dxa"/>
            <w:tcBorders>
              <w:bottom w:val="nil"/>
            </w:tcBorders>
          </w:tcPr>
          <w:p w14:paraId="5745C0AA" w14:textId="77777777" w:rsidR="000A2132" w:rsidRPr="00C56767" w:rsidRDefault="000A2132" w:rsidP="00DE0F75">
            <w:pPr>
              <w:keepNext/>
              <w:snapToGrid w:val="0"/>
              <w:spacing w:before="120"/>
              <w:outlineLvl w:val="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NA</w:t>
            </w:r>
          </w:p>
        </w:tc>
      </w:tr>
      <w:tr w:rsidR="000A2132" w:rsidRPr="00C56767" w14:paraId="45AD30AC" w14:textId="77777777" w:rsidTr="00DE0F75">
        <w:tc>
          <w:tcPr>
            <w:tcW w:w="2235" w:type="dxa"/>
            <w:tcBorders>
              <w:top w:val="nil"/>
              <w:bottom w:val="single" w:sz="12" w:space="0" w:color="7F7F7F" w:themeColor="text1" w:themeTint="80"/>
              <w:right w:val="single" w:sz="8" w:space="0" w:color="7F7F7F" w:themeColor="text1" w:themeTint="80"/>
            </w:tcBorders>
          </w:tcPr>
          <w:p w14:paraId="6BC081D4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*LDE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C56767">
              <w:rPr>
                <w:color w:val="000000" w:themeColor="text1"/>
                <w:sz w:val="18"/>
                <w:szCs w:val="18"/>
              </w:rPr>
              <w:t>(</w:t>
            </w:r>
            <w:r w:rsidRPr="00C56767">
              <w:rPr>
                <w:color w:val="000000" w:themeColor="text1"/>
                <w:sz w:val="18"/>
                <w:szCs w:val="18"/>
                <w:lang w:eastAsia="ja-JP"/>
              </w:rPr>
              <w:t>mean</w:t>
            </w:r>
            <w:r w:rsidRPr="00C56767">
              <w:rPr>
                <w:color w:val="000000" w:themeColor="text1"/>
                <w:sz w:val="18"/>
                <w:szCs w:val="18"/>
              </w:rPr>
              <w:t>±s.d.)</w:t>
            </w:r>
          </w:p>
        </w:tc>
        <w:tc>
          <w:tcPr>
            <w:tcW w:w="1701" w:type="dxa"/>
            <w:tcBorders>
              <w:top w:val="nil"/>
              <w:left w:val="single" w:sz="8" w:space="0" w:color="7F7F7F" w:themeColor="text1" w:themeTint="80"/>
              <w:bottom w:val="single" w:sz="12" w:space="0" w:color="7F7F7F" w:themeColor="text1" w:themeTint="80"/>
            </w:tcBorders>
          </w:tcPr>
          <w:p w14:paraId="53419B53" w14:textId="77777777" w:rsidR="000A2132" w:rsidRPr="00C56767" w:rsidRDefault="000A2132" w:rsidP="00DE0F75">
            <w:pPr>
              <w:snapToGrid w:val="0"/>
              <w:spacing w:before="120"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559" w:type="dxa"/>
            <w:tcBorders>
              <w:top w:val="nil"/>
              <w:bottom w:val="single" w:sz="12" w:space="0" w:color="7F7F7F" w:themeColor="text1" w:themeTint="80"/>
            </w:tcBorders>
          </w:tcPr>
          <w:p w14:paraId="16F09BFE" w14:textId="77777777" w:rsidR="000A2132" w:rsidRPr="00C56767" w:rsidRDefault="000A2132" w:rsidP="00DE0F75">
            <w:pPr>
              <w:snapToGrid w:val="0"/>
              <w:spacing w:after="5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701" w:type="dxa"/>
            <w:tcBorders>
              <w:top w:val="nil"/>
              <w:bottom w:val="single" w:sz="12" w:space="0" w:color="7F7F7F" w:themeColor="text1" w:themeTint="80"/>
            </w:tcBorders>
          </w:tcPr>
          <w:p w14:paraId="279D14C6" w14:textId="77777777" w:rsidR="000A2132" w:rsidRPr="00C56767" w:rsidRDefault="000A2132" w:rsidP="00DE0F75">
            <w:pPr>
              <w:snapToGrid w:val="0"/>
              <w:spacing w:before="120" w:after="50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554±218</w:t>
            </w:r>
          </w:p>
        </w:tc>
        <w:tc>
          <w:tcPr>
            <w:tcW w:w="1843" w:type="dxa"/>
            <w:tcBorders>
              <w:top w:val="nil"/>
              <w:bottom w:val="single" w:sz="12" w:space="0" w:color="7F7F7F" w:themeColor="text1" w:themeTint="80"/>
            </w:tcBorders>
          </w:tcPr>
          <w:p w14:paraId="5032BDEE" w14:textId="77777777" w:rsidR="000A2132" w:rsidRPr="00C56767" w:rsidRDefault="000A2132" w:rsidP="00DE0F75">
            <w:pPr>
              <w:keepNext/>
              <w:snapToGrid w:val="0"/>
              <w:spacing w:before="120"/>
              <w:outlineLvl w:val="0"/>
              <w:rPr>
                <w:color w:val="000000" w:themeColor="text1"/>
                <w:sz w:val="18"/>
                <w:szCs w:val="18"/>
              </w:rPr>
            </w:pPr>
            <w:r w:rsidRPr="00C56767">
              <w:rPr>
                <w:color w:val="000000" w:themeColor="text1"/>
                <w:sz w:val="18"/>
                <w:szCs w:val="18"/>
              </w:rPr>
              <w:t>NA</w:t>
            </w:r>
          </w:p>
        </w:tc>
      </w:tr>
    </w:tbl>
    <w:p w14:paraId="0BAA120F" w14:textId="1A01AAAF" w:rsidR="00E5291D" w:rsidRPr="00C56767" w:rsidRDefault="000A2132" w:rsidP="00415554">
      <w:pPr>
        <w:snapToGrid w:val="0"/>
        <w:spacing w:after="50"/>
        <w:rPr>
          <w:color w:val="000000" w:themeColor="text1"/>
          <w:sz w:val="22"/>
          <w:szCs w:val="22"/>
        </w:rPr>
      </w:pPr>
      <w:r w:rsidRPr="00C56767">
        <w:rPr>
          <w:color w:val="000000" w:themeColor="text1"/>
          <w:sz w:val="22"/>
          <w:szCs w:val="22"/>
        </w:rPr>
        <w:t>EHI</w:t>
      </w:r>
      <w:r w:rsidRPr="00C56767">
        <w:rPr>
          <w:color w:val="000000" w:themeColor="text1"/>
          <w:sz w:val="22"/>
          <w:szCs w:val="22"/>
          <w:lang w:eastAsia="ja-JP"/>
        </w:rPr>
        <w:t>:</w:t>
      </w:r>
      <w:r w:rsidRPr="00C56767">
        <w:rPr>
          <w:color w:val="000000" w:themeColor="text1"/>
          <w:sz w:val="22"/>
          <w:szCs w:val="22"/>
        </w:rPr>
        <w:t xml:space="preserve"> Edinburgh </w:t>
      </w:r>
      <w:r w:rsidRPr="00C56767">
        <w:rPr>
          <w:color w:val="000000" w:themeColor="text1"/>
          <w:sz w:val="22"/>
          <w:szCs w:val="22"/>
          <w:lang w:eastAsia="ja-JP"/>
        </w:rPr>
        <w:t>H</w:t>
      </w:r>
      <w:r w:rsidRPr="00C56767">
        <w:rPr>
          <w:color w:val="000000" w:themeColor="text1"/>
          <w:sz w:val="22"/>
          <w:szCs w:val="22"/>
        </w:rPr>
        <w:t xml:space="preserve">andedness </w:t>
      </w:r>
      <w:r w:rsidRPr="00C56767">
        <w:rPr>
          <w:color w:val="000000" w:themeColor="text1"/>
          <w:sz w:val="22"/>
          <w:szCs w:val="22"/>
          <w:lang w:eastAsia="ja-JP"/>
        </w:rPr>
        <w:t>I</w:t>
      </w:r>
      <w:r w:rsidRPr="00C56767">
        <w:rPr>
          <w:color w:val="000000" w:themeColor="text1"/>
          <w:sz w:val="22"/>
          <w:szCs w:val="22"/>
        </w:rPr>
        <w:t>nventory; MMSE</w:t>
      </w:r>
      <w:r w:rsidRPr="00C56767">
        <w:rPr>
          <w:color w:val="000000" w:themeColor="text1"/>
          <w:sz w:val="22"/>
          <w:szCs w:val="22"/>
          <w:lang w:eastAsia="ja-JP"/>
        </w:rPr>
        <w:t xml:space="preserve">: </w:t>
      </w:r>
      <w:r w:rsidRPr="00C56767">
        <w:rPr>
          <w:color w:val="000000" w:themeColor="text1"/>
          <w:sz w:val="22"/>
          <w:szCs w:val="22"/>
        </w:rPr>
        <w:t xml:space="preserve">mini-mental status examination; </w:t>
      </w:r>
      <w:r w:rsidRPr="00C56767">
        <w:rPr>
          <w:color w:val="000000" w:themeColor="text1"/>
          <w:sz w:val="22"/>
          <w:szCs w:val="22"/>
          <w:lang w:eastAsia="ja-JP"/>
        </w:rPr>
        <w:t>“</w:t>
      </w:r>
      <w:r w:rsidRPr="00C56767">
        <w:rPr>
          <w:color w:val="000000" w:themeColor="text1"/>
          <w:sz w:val="22"/>
          <w:szCs w:val="22"/>
        </w:rPr>
        <w:t>Experience</w:t>
      </w:r>
      <w:r w:rsidRPr="00C56767">
        <w:rPr>
          <w:color w:val="000000" w:themeColor="text1"/>
          <w:sz w:val="22"/>
          <w:szCs w:val="22"/>
          <w:lang w:eastAsia="ja-JP"/>
        </w:rPr>
        <w:t>”</w:t>
      </w:r>
      <w:r w:rsidRPr="00C56767">
        <w:rPr>
          <w:color w:val="000000" w:themeColor="text1"/>
          <w:sz w:val="22"/>
          <w:szCs w:val="22"/>
        </w:rPr>
        <w:t xml:space="preserve"> refers to personal history that may influence finger dexterity</w:t>
      </w:r>
      <w:r w:rsidRPr="00C56767">
        <w:rPr>
          <w:color w:val="000000" w:themeColor="text1"/>
          <w:sz w:val="22"/>
          <w:szCs w:val="22"/>
          <w:lang w:eastAsia="ja-JP"/>
        </w:rPr>
        <w:t>,</w:t>
      </w:r>
      <w:r w:rsidRPr="00C56767">
        <w:rPr>
          <w:color w:val="000000" w:themeColor="text1"/>
          <w:sz w:val="22"/>
          <w:szCs w:val="22"/>
        </w:rPr>
        <w:t xml:space="preserve"> such as typing, piano playing and so forth. Participants self-reported their experience in those activities in a simpl</w:t>
      </w:r>
      <w:r w:rsidRPr="00C56767">
        <w:rPr>
          <w:color w:val="000000" w:themeColor="text1"/>
          <w:sz w:val="22"/>
          <w:szCs w:val="22"/>
          <w:lang w:eastAsia="ja-JP"/>
        </w:rPr>
        <w:t>e</w:t>
      </w:r>
      <w:r w:rsidRPr="00C56767">
        <w:rPr>
          <w:color w:val="000000" w:themeColor="text1"/>
          <w:sz w:val="22"/>
          <w:szCs w:val="22"/>
        </w:rPr>
        <w:t xml:space="preserve"> </w:t>
      </w:r>
      <w:r w:rsidRPr="00C56767">
        <w:rPr>
          <w:color w:val="000000" w:themeColor="text1"/>
          <w:sz w:val="22"/>
          <w:szCs w:val="22"/>
          <w:lang w:eastAsia="ja-JP"/>
        </w:rPr>
        <w:t>yes-no</w:t>
      </w:r>
      <w:r w:rsidRPr="00C56767">
        <w:rPr>
          <w:color w:val="000000" w:themeColor="text1"/>
          <w:sz w:val="22"/>
          <w:szCs w:val="22"/>
        </w:rPr>
        <w:t xml:space="preserve"> questionnaire. UPDRS</w:t>
      </w:r>
      <w:r w:rsidRPr="00C56767">
        <w:rPr>
          <w:color w:val="000000" w:themeColor="text1"/>
          <w:sz w:val="22"/>
          <w:szCs w:val="22"/>
          <w:lang w:eastAsia="ja-JP"/>
        </w:rPr>
        <w:t xml:space="preserve">: </w:t>
      </w:r>
      <w:r w:rsidRPr="00C56767">
        <w:rPr>
          <w:bCs/>
          <w:color w:val="000000" w:themeColor="text1"/>
          <w:sz w:val="22"/>
          <w:szCs w:val="22"/>
        </w:rPr>
        <w:t>Unified Parkinson’s Disease Rating Scale</w:t>
      </w:r>
      <w:r w:rsidRPr="00C56767">
        <w:rPr>
          <w:color w:val="000000" w:themeColor="text1"/>
          <w:sz w:val="22"/>
          <w:szCs w:val="22"/>
        </w:rPr>
        <w:t xml:space="preserve">; </w:t>
      </w:r>
      <w:r w:rsidRPr="00C56767">
        <w:rPr>
          <w:color w:val="000000" w:themeColor="text1"/>
          <w:sz w:val="22"/>
          <w:szCs w:val="22"/>
          <w:vertAlign w:val="superscript"/>
        </w:rPr>
        <w:t>†</w:t>
      </w:r>
      <w:r w:rsidRPr="00C56767">
        <w:rPr>
          <w:color w:val="000000" w:themeColor="text1"/>
          <w:sz w:val="22"/>
          <w:szCs w:val="22"/>
          <w:lang w:eastAsia="ja-JP"/>
        </w:rPr>
        <w:t>:</w:t>
      </w:r>
      <w:r w:rsidRPr="00C56767">
        <w:rPr>
          <w:color w:val="000000" w:themeColor="text1"/>
          <w:sz w:val="22"/>
          <w:szCs w:val="22"/>
        </w:rPr>
        <w:t xml:space="preserve"> not significant with a two-sample </w:t>
      </w:r>
      <w:r w:rsidRPr="00C56767">
        <w:rPr>
          <w:i/>
          <w:color w:val="000000" w:themeColor="text1"/>
          <w:sz w:val="22"/>
          <w:szCs w:val="22"/>
        </w:rPr>
        <w:t>t</w:t>
      </w:r>
      <w:r w:rsidRPr="00C56767">
        <w:rPr>
          <w:color w:val="000000" w:themeColor="text1"/>
          <w:sz w:val="22"/>
          <w:szCs w:val="22"/>
        </w:rPr>
        <w:t xml:space="preserve">-test; </w:t>
      </w:r>
      <w:r w:rsidRPr="00C56767">
        <w:rPr>
          <w:color w:val="000000" w:themeColor="text1"/>
          <w:sz w:val="22"/>
          <w:szCs w:val="22"/>
          <w:vertAlign w:val="superscript"/>
        </w:rPr>
        <w:t>‡</w:t>
      </w:r>
      <w:r w:rsidRPr="00C56767">
        <w:rPr>
          <w:color w:val="000000" w:themeColor="text1"/>
          <w:sz w:val="22"/>
          <w:szCs w:val="22"/>
          <w:lang w:eastAsia="ja-JP"/>
        </w:rPr>
        <w:t>:</w:t>
      </w:r>
      <w:r w:rsidRPr="00C56767">
        <w:rPr>
          <w:color w:val="000000" w:themeColor="text1"/>
          <w:sz w:val="22"/>
          <w:szCs w:val="22"/>
        </w:rPr>
        <w:t xml:space="preserve"> not significant with a chi-square test. NA</w:t>
      </w:r>
      <w:r w:rsidRPr="00C56767">
        <w:rPr>
          <w:color w:val="000000" w:themeColor="text1"/>
          <w:sz w:val="22"/>
          <w:szCs w:val="22"/>
          <w:lang w:eastAsia="ja-JP"/>
        </w:rPr>
        <w:t>:</w:t>
      </w:r>
      <w:r w:rsidRPr="00C56767">
        <w:rPr>
          <w:color w:val="000000" w:themeColor="text1"/>
          <w:sz w:val="22"/>
          <w:szCs w:val="22"/>
        </w:rPr>
        <w:t xml:space="preserve"> not applicable</w:t>
      </w:r>
    </w:p>
    <w:p w14:paraId="229654F2" w14:textId="7CEA4922" w:rsidR="008E203B" w:rsidRPr="00C56767" w:rsidRDefault="008E203B">
      <w:pPr>
        <w:rPr>
          <w:color w:val="000000" w:themeColor="text1"/>
          <w:sz w:val="22"/>
          <w:szCs w:val="22"/>
        </w:rPr>
      </w:pPr>
    </w:p>
    <w:sectPr w:rsidR="008E203B" w:rsidRPr="00C56767" w:rsidSect="00DE0F75">
      <w:footerReference w:type="even" r:id="rId6"/>
      <w:footerReference w:type="default" r:id="rId7"/>
      <w:pgSz w:w="12240" w:h="15840"/>
      <w:pgMar w:top="1440" w:right="1440" w:bottom="1440" w:left="1440" w:header="432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F3639" w14:textId="77777777" w:rsidR="00D14C85" w:rsidRDefault="00D14C85">
      <w:r>
        <w:separator/>
      </w:r>
    </w:p>
  </w:endnote>
  <w:endnote w:type="continuationSeparator" w:id="0">
    <w:p w14:paraId="73CE9715" w14:textId="77777777" w:rsidR="00D14C85" w:rsidRDefault="00D1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3835F" w14:textId="77777777" w:rsidR="00EC1D25" w:rsidRDefault="00EC1D25" w:rsidP="00DE0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396A6" w14:textId="77777777" w:rsidR="00EC1D25" w:rsidRDefault="00EC1D25" w:rsidP="00DE0F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C5AB" w14:textId="77777777" w:rsidR="00EC1D25" w:rsidRDefault="00EC1D25" w:rsidP="00DE0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4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190111" w14:textId="77777777" w:rsidR="00EC1D25" w:rsidRDefault="00EC1D25" w:rsidP="00DE0F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61387" w14:textId="77777777" w:rsidR="00D14C85" w:rsidRDefault="00D14C85">
      <w:r>
        <w:separator/>
      </w:r>
    </w:p>
  </w:footnote>
  <w:footnote w:type="continuationSeparator" w:id="0">
    <w:p w14:paraId="6CAE7512" w14:textId="77777777" w:rsidR="00D14C85" w:rsidRDefault="00D1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32"/>
    <w:rsid w:val="000A2132"/>
    <w:rsid w:val="000A2F07"/>
    <w:rsid w:val="000F39CD"/>
    <w:rsid w:val="00142558"/>
    <w:rsid w:val="00155D78"/>
    <w:rsid w:val="001829AA"/>
    <w:rsid w:val="001B4CB5"/>
    <w:rsid w:val="002B2C83"/>
    <w:rsid w:val="002F1582"/>
    <w:rsid w:val="00415554"/>
    <w:rsid w:val="004515F7"/>
    <w:rsid w:val="00513274"/>
    <w:rsid w:val="005D711E"/>
    <w:rsid w:val="00652761"/>
    <w:rsid w:val="007B0159"/>
    <w:rsid w:val="00836999"/>
    <w:rsid w:val="00854ADC"/>
    <w:rsid w:val="008C1FE8"/>
    <w:rsid w:val="008E203B"/>
    <w:rsid w:val="008E7B8A"/>
    <w:rsid w:val="008F505E"/>
    <w:rsid w:val="009E44A3"/>
    <w:rsid w:val="00BD0E55"/>
    <w:rsid w:val="00BD296D"/>
    <w:rsid w:val="00BD3EAD"/>
    <w:rsid w:val="00BE2F8B"/>
    <w:rsid w:val="00C56767"/>
    <w:rsid w:val="00D14C85"/>
    <w:rsid w:val="00D608F8"/>
    <w:rsid w:val="00DE0F75"/>
    <w:rsid w:val="00E5291D"/>
    <w:rsid w:val="00E90623"/>
    <w:rsid w:val="00EC1D25"/>
    <w:rsid w:val="00EC4C11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D02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32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213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2132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PageNumber">
    <w:name w:val="page number"/>
    <w:basedOn w:val="DefaultParagraphFont"/>
    <w:rsid w:val="000A2132"/>
  </w:style>
  <w:style w:type="table" w:styleId="TableGrid">
    <w:name w:val="Table Grid"/>
    <w:basedOn w:val="TableNormal"/>
    <w:uiPriority w:val="59"/>
    <w:rsid w:val="000A2132"/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花川 隆</dc:creator>
  <cp:keywords/>
  <dc:description/>
  <cp:lastModifiedBy>Zachary Dourafei</cp:lastModifiedBy>
  <cp:revision>2</cp:revision>
  <dcterms:created xsi:type="dcterms:W3CDTF">2017-11-20T21:37:00Z</dcterms:created>
  <dcterms:modified xsi:type="dcterms:W3CDTF">2017-11-20T21:37:00Z</dcterms:modified>
</cp:coreProperties>
</file>